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10" w:rsidRPr="001D3FF4" w:rsidRDefault="003F241B" w:rsidP="00592014">
      <w:pPr>
        <w:pStyle w:val="TechnicalBlock"/>
        <w:spacing w:line="360" w:lineRule="auto"/>
        <w:ind w:left="-1134" w:right="-1134"/>
      </w:pPr>
      <w:bookmarkStart w:id="0" w:name="_GoBack"/>
      <w:bookmarkStart w:id="1" w:name="DW_BM_COVERPAGE"/>
      <w:bookmarkEnd w:id="0"/>
      <w:r>
        <w:rPr>
          <w:noProof/>
          <w:lang w:val="nb-NO" w:eastAsia="nb-NO"/>
        </w:rPr>
        <w:drawing>
          <wp:inline distT="0" distB="0" distL="0" distR="0">
            <wp:extent cx="7229475" cy="5000625"/>
            <wp:effectExtent l="0" t="0" r="0" b="9525"/>
            <wp:docPr id="1" name="Afbeelding 1" descr="df410839-1426-40fc-8eee-e47de7956e3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410839-1426-40fc-8eee-e47de7956e37_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9475" cy="5000625"/>
                    </a:xfrm>
                    <a:prstGeom prst="rect">
                      <a:avLst/>
                    </a:prstGeom>
                    <a:noFill/>
                    <a:ln>
                      <a:noFill/>
                    </a:ln>
                  </pic:spPr>
                </pic:pic>
              </a:graphicData>
            </a:graphic>
          </wp:inline>
        </w:drawing>
      </w:r>
      <w:bookmarkEnd w:id="1"/>
    </w:p>
    <w:p w:rsidR="00F15CD6" w:rsidRPr="001D3FF4" w:rsidRDefault="00F15CD6" w:rsidP="00592014">
      <w:pPr>
        <w:rPr>
          <w:b/>
          <w:bCs/>
        </w:rPr>
      </w:pPr>
      <w:r w:rsidRPr="001D3FF4">
        <w:rPr>
          <w:b/>
          <w:bCs/>
        </w:rPr>
        <w:t>INTRODUCTION</w:t>
      </w:r>
    </w:p>
    <w:p w:rsidR="00F15CD6" w:rsidRPr="001D3FF4" w:rsidRDefault="00F15CD6" w:rsidP="00592014">
      <w:pPr>
        <w:pStyle w:val="Point123"/>
        <w:numPr>
          <w:ilvl w:val="0"/>
          <w:numId w:val="51"/>
        </w:numPr>
      </w:pPr>
      <w:r w:rsidRPr="001D3FF4">
        <w:t xml:space="preserve">On 23 May 2013, the </w:t>
      </w:r>
      <w:r w:rsidRPr="001D3FF4">
        <w:rPr>
          <w:u w:val="single"/>
        </w:rPr>
        <w:t>Commission</w:t>
      </w:r>
      <w:r w:rsidRPr="001D3FF4">
        <w:t xml:space="preserve"> transmitted the above proposal to the Council and the European Parliament</w:t>
      </w:r>
      <w:bookmarkStart w:id="2" w:name="DQCErrorScope3200078a8d4941e68e79d58ea6a"/>
      <w:r w:rsidRPr="001D3FF4">
        <w:rPr>
          <w:rStyle w:val="Fotnotereferanse"/>
        </w:rPr>
        <w:footnoteReference w:id="1"/>
      </w:r>
      <w:bookmarkEnd w:id="2"/>
      <w:r w:rsidRPr="001D3FF4">
        <w:t>.</w:t>
      </w:r>
    </w:p>
    <w:p w:rsidR="00F15CD6" w:rsidRPr="001D3FF4" w:rsidRDefault="00F15CD6" w:rsidP="00592014">
      <w:pPr>
        <w:pStyle w:val="Point123"/>
        <w:numPr>
          <w:ilvl w:val="0"/>
          <w:numId w:val="51"/>
        </w:numPr>
        <w:rPr>
          <w:bCs/>
        </w:rPr>
      </w:pPr>
      <w:r w:rsidRPr="001D3FF4">
        <w:rPr>
          <w:bCs/>
        </w:rPr>
        <w:t xml:space="preserve">The Commission presented its proposal to the </w:t>
      </w:r>
      <w:r w:rsidRPr="001D3FF4">
        <w:rPr>
          <w:bCs/>
          <w:u w:val="single"/>
        </w:rPr>
        <w:t>Transport</w:t>
      </w:r>
      <w:r w:rsidRPr="001D3FF4">
        <w:rPr>
          <w:bCs/>
        </w:rPr>
        <w:t>, Telecommunications and Energy</w:t>
      </w:r>
      <w:r w:rsidRPr="001D3FF4">
        <w:rPr>
          <w:bCs/>
          <w:u w:val="single"/>
        </w:rPr>
        <w:t xml:space="preserve"> Council</w:t>
      </w:r>
      <w:r w:rsidRPr="001D3FF4">
        <w:rPr>
          <w:bCs/>
        </w:rPr>
        <w:t xml:space="preserve"> on 10 June 2013</w:t>
      </w:r>
      <w:r w:rsidR="008C0E1B" w:rsidRPr="001D3FF4">
        <w:rPr>
          <w:bCs/>
        </w:rPr>
        <w:t xml:space="preserve">, during the </w:t>
      </w:r>
      <w:r w:rsidR="008C0E1B" w:rsidRPr="001D3FF4">
        <w:rPr>
          <w:bCs/>
          <w:u w:val="single"/>
        </w:rPr>
        <w:t>Irish Presidency</w:t>
      </w:r>
      <w:r w:rsidRPr="001D3FF4">
        <w:rPr>
          <w:bCs/>
        </w:rPr>
        <w:t>.</w:t>
      </w:r>
    </w:p>
    <w:p w:rsidR="00F15CD6" w:rsidRPr="001D3FF4" w:rsidRDefault="00592014" w:rsidP="00592014">
      <w:pPr>
        <w:pStyle w:val="Point123"/>
        <w:numPr>
          <w:ilvl w:val="0"/>
          <w:numId w:val="51"/>
        </w:numPr>
      </w:pPr>
      <w:r w:rsidRPr="001D3FF4">
        <w:rPr>
          <w:bCs/>
        </w:rPr>
        <w:t xml:space="preserve">The examination by the </w:t>
      </w:r>
      <w:r w:rsidRPr="001D3FF4">
        <w:rPr>
          <w:bCs/>
          <w:u w:val="single"/>
        </w:rPr>
        <w:t>Shipping Working Party</w:t>
      </w:r>
      <w:r w:rsidRPr="001D3FF4">
        <w:rPr>
          <w:bCs/>
        </w:rPr>
        <w:t xml:space="preserve"> began in October 2013, during the </w:t>
      </w:r>
      <w:r w:rsidRPr="001D3FF4">
        <w:rPr>
          <w:bCs/>
          <w:u w:val="single"/>
        </w:rPr>
        <w:t>Lithuanian Presidency</w:t>
      </w:r>
      <w:r w:rsidRPr="001D3FF4">
        <w:rPr>
          <w:bCs/>
        </w:rPr>
        <w:t xml:space="preserve">. The Shipping Working Party made an in-depth analysis of the impact assessment during two meetings. This impact assessment discussion was supported by the indicative checklist developed to examine Commission impact assessments in the Council, in the context of the consideration of Commission proposals and in line with the report on the </w:t>
      </w:r>
      <w:r w:rsidRPr="001D3FF4">
        <w:rPr>
          <w:bCs/>
        </w:rPr>
        <w:lastRenderedPageBreak/>
        <w:t>examination of impact assessments within the Council</w:t>
      </w:r>
      <w:r w:rsidRPr="001D3FF4">
        <w:rPr>
          <w:rStyle w:val="Fotnotereferanse"/>
        </w:rPr>
        <w:footnoteReference w:id="2"/>
      </w:r>
      <w:r w:rsidRPr="001D3FF4">
        <w:rPr>
          <w:bCs/>
        </w:rPr>
        <w:t xml:space="preserve">, and constituted one of the three pilot projects conducted by the former Presidency trio on that checklist. </w:t>
      </w:r>
      <w:r w:rsidRPr="001D3FF4">
        <w:t>All delegations expressed their support for and satisfaction with the opportunity given to make a more profound analysis of the impact assessment. In general, delegations expressed their recognition of the work carried out by the Commission on the very exhaustive impact assessment. However, delegations were critical on several points, notably the policy options chosen/discarded and the methodology used.</w:t>
      </w:r>
    </w:p>
    <w:p w:rsidR="00F15CD6" w:rsidRPr="001D3FF4" w:rsidRDefault="00F15CD6" w:rsidP="00B14855">
      <w:pPr>
        <w:pStyle w:val="Point123"/>
        <w:numPr>
          <w:ilvl w:val="0"/>
          <w:numId w:val="51"/>
        </w:numPr>
        <w:rPr>
          <w:bCs/>
        </w:rPr>
      </w:pPr>
      <w:r w:rsidRPr="001D3FF4">
        <w:rPr>
          <w:bCs/>
        </w:rPr>
        <w:t xml:space="preserve">The work continued during the </w:t>
      </w:r>
      <w:r w:rsidRPr="001D3FF4">
        <w:rPr>
          <w:bCs/>
          <w:u w:val="single"/>
        </w:rPr>
        <w:t>Hellenic Presidency</w:t>
      </w:r>
      <w:r w:rsidRPr="001D3FF4">
        <w:rPr>
          <w:bCs/>
        </w:rPr>
        <w:t xml:space="preserve">. The proposal was the subject of a </w:t>
      </w:r>
      <w:r w:rsidRPr="001D3FF4">
        <w:rPr>
          <w:bCs/>
          <w:u w:val="single"/>
        </w:rPr>
        <w:t>progress report</w:t>
      </w:r>
      <w:r w:rsidRPr="001D3FF4">
        <w:rPr>
          <w:bCs/>
        </w:rPr>
        <w:t xml:space="preserve"> to the Transport Council on 5 June 2014.</w:t>
      </w:r>
    </w:p>
    <w:p w:rsidR="00F15CD6" w:rsidRPr="001D3FF4" w:rsidRDefault="00F15CD6" w:rsidP="00592014">
      <w:pPr>
        <w:pStyle w:val="Point123"/>
        <w:numPr>
          <w:ilvl w:val="0"/>
          <w:numId w:val="51"/>
        </w:numPr>
      </w:pPr>
      <w:r w:rsidRPr="001D3FF4">
        <w:rPr>
          <w:bCs/>
        </w:rPr>
        <w:t xml:space="preserve">During the </w:t>
      </w:r>
      <w:r w:rsidRPr="001D3FF4">
        <w:rPr>
          <w:bCs/>
          <w:u w:val="single"/>
        </w:rPr>
        <w:t>Italian Presidency</w:t>
      </w:r>
      <w:r w:rsidRPr="001D3FF4">
        <w:rPr>
          <w:bCs/>
        </w:rPr>
        <w:t>, a general approach was adopted by the Transport Council on 8 October 2014.</w:t>
      </w:r>
    </w:p>
    <w:p w:rsidR="00F15CD6" w:rsidRPr="001D3FF4" w:rsidRDefault="00F15CD6" w:rsidP="00592014">
      <w:pPr>
        <w:pStyle w:val="Point123"/>
        <w:numPr>
          <w:ilvl w:val="0"/>
          <w:numId w:val="51"/>
        </w:numPr>
      </w:pPr>
      <w:r w:rsidRPr="001D3FF4">
        <w:t xml:space="preserve">The </w:t>
      </w:r>
      <w:r w:rsidRPr="001D3FF4">
        <w:rPr>
          <w:u w:val="single"/>
        </w:rPr>
        <w:t>European Parliament</w:t>
      </w:r>
      <w:r w:rsidRPr="001D3FF4">
        <w:t xml:space="preserve"> voted its amendments at first reading on 8 March 2016. The </w:t>
      </w:r>
      <w:proofErr w:type="spellStart"/>
      <w:r w:rsidRPr="001D3FF4">
        <w:t>rapporteur</w:t>
      </w:r>
      <w:proofErr w:type="spellEnd"/>
      <w:r w:rsidRPr="001D3FF4">
        <w:t>, Knut Fleckenstein, S&amp;D-DE, was given a mandate to negotiate a first reading agreement with the Council.</w:t>
      </w:r>
    </w:p>
    <w:p w:rsidR="00F15CD6" w:rsidRPr="001D3FF4" w:rsidRDefault="00F15CD6" w:rsidP="00592014">
      <w:pPr>
        <w:pStyle w:val="Point123"/>
        <w:numPr>
          <w:ilvl w:val="0"/>
          <w:numId w:val="51"/>
        </w:numPr>
      </w:pPr>
      <w:r w:rsidRPr="001D3FF4">
        <w:t xml:space="preserve">A first </w:t>
      </w:r>
      <w:proofErr w:type="spellStart"/>
      <w:r w:rsidRPr="001D3FF4">
        <w:t>trilogue</w:t>
      </w:r>
      <w:proofErr w:type="spellEnd"/>
      <w:r w:rsidRPr="001D3FF4">
        <w:t xml:space="preserve"> took place on 18 April 2016, followed by trilogues on 24 May and 9 June 2016. </w:t>
      </w:r>
    </w:p>
    <w:p w:rsidR="00F15CD6" w:rsidRPr="001D3FF4" w:rsidRDefault="008C0E1B" w:rsidP="00592014">
      <w:pPr>
        <w:pStyle w:val="Point123"/>
        <w:numPr>
          <w:ilvl w:val="0"/>
          <w:numId w:val="51"/>
        </w:numPr>
        <w:rPr>
          <w:color w:val="000000"/>
        </w:rPr>
      </w:pPr>
      <w:r w:rsidRPr="001D3FF4">
        <w:rPr>
          <w:color w:val="000000"/>
        </w:rPr>
        <w:t xml:space="preserve">The last </w:t>
      </w:r>
      <w:proofErr w:type="spellStart"/>
      <w:r w:rsidRPr="001D3FF4">
        <w:rPr>
          <w:color w:val="000000"/>
        </w:rPr>
        <w:t>trilogue</w:t>
      </w:r>
      <w:proofErr w:type="spellEnd"/>
      <w:r w:rsidRPr="001D3FF4">
        <w:rPr>
          <w:color w:val="000000"/>
        </w:rPr>
        <w:t xml:space="preserve"> took place on 27 June 2016. At that </w:t>
      </w:r>
      <w:proofErr w:type="spellStart"/>
      <w:r w:rsidRPr="001D3FF4">
        <w:rPr>
          <w:color w:val="000000"/>
        </w:rPr>
        <w:t>trilogue</w:t>
      </w:r>
      <w:proofErr w:type="spellEnd"/>
      <w:r w:rsidRPr="001D3FF4">
        <w:rPr>
          <w:color w:val="000000"/>
        </w:rPr>
        <w:t xml:space="preserve">, an agreement </w:t>
      </w:r>
      <w:r w:rsidRPr="001D3FF4">
        <w:rPr>
          <w:i/>
          <w:iCs/>
          <w:color w:val="000000"/>
        </w:rPr>
        <w:t xml:space="preserve">ad referendum </w:t>
      </w:r>
      <w:r w:rsidRPr="001D3FF4">
        <w:rPr>
          <w:color w:val="000000"/>
        </w:rPr>
        <w:t>was reached with the Parliament.</w:t>
      </w:r>
    </w:p>
    <w:p w:rsidR="00F15CD6" w:rsidRPr="001D3FF4" w:rsidRDefault="008C0E1B" w:rsidP="00592014">
      <w:pPr>
        <w:pStyle w:val="Point123"/>
        <w:numPr>
          <w:ilvl w:val="0"/>
          <w:numId w:val="51"/>
        </w:numPr>
        <w:rPr>
          <w:color w:val="000000"/>
        </w:rPr>
      </w:pPr>
      <w:r w:rsidRPr="001D3FF4">
        <w:rPr>
          <w:color w:val="000000"/>
        </w:rPr>
        <w:t xml:space="preserve">The changes compared to the mandate given by the Permanent Representatives Committee on 22 June 2016 are marked in </w:t>
      </w:r>
      <w:r w:rsidRPr="001D3FF4">
        <w:rPr>
          <w:b/>
          <w:bCs/>
          <w:color w:val="000000"/>
          <w:u w:val="single"/>
        </w:rPr>
        <w:t>bold</w:t>
      </w:r>
      <w:r w:rsidR="001D3FF4" w:rsidRPr="001D3FF4">
        <w:rPr>
          <w:b/>
          <w:bCs/>
          <w:color w:val="000000"/>
          <w:u w:val="single"/>
        </w:rPr>
        <w:t xml:space="preserve"> underline</w:t>
      </w:r>
      <w:r w:rsidRPr="001D3FF4">
        <w:rPr>
          <w:color w:val="000000"/>
        </w:rPr>
        <w:t>/</w:t>
      </w:r>
      <w:r w:rsidRPr="001D3FF4">
        <w:rPr>
          <w:strike/>
          <w:color w:val="000000"/>
        </w:rPr>
        <w:t>strikethrough</w:t>
      </w:r>
      <w:r w:rsidRPr="001D3FF4">
        <w:rPr>
          <w:color w:val="000000"/>
        </w:rPr>
        <w:t xml:space="preserve"> in the attached document.</w:t>
      </w:r>
    </w:p>
    <w:p w:rsidR="00592014" w:rsidRPr="001D3FF4" w:rsidRDefault="00592014" w:rsidP="00592014">
      <w:pPr>
        <w:pStyle w:val="Point123"/>
        <w:numPr>
          <w:ilvl w:val="0"/>
          <w:numId w:val="51"/>
        </w:numPr>
        <w:rPr>
          <w:color w:val="000000"/>
        </w:rPr>
      </w:pPr>
      <w:r w:rsidRPr="001D3FF4">
        <w:t>The recitals which form part of the agreement at this stage are indicated in footnotes.</w:t>
      </w:r>
    </w:p>
    <w:p w:rsidR="00592014" w:rsidRPr="001D3FF4" w:rsidRDefault="00592014" w:rsidP="00B14855">
      <w:pPr>
        <w:pStyle w:val="Point123"/>
        <w:numPr>
          <w:ilvl w:val="0"/>
          <w:numId w:val="51"/>
        </w:numPr>
        <w:rPr>
          <w:color w:val="000000"/>
        </w:rPr>
      </w:pPr>
      <w:r w:rsidRPr="001D3FF4">
        <w:t xml:space="preserve">The </w:t>
      </w:r>
      <w:r w:rsidRPr="001D3FF4">
        <w:rPr>
          <w:u w:val="single"/>
        </w:rPr>
        <w:t>Presidency</w:t>
      </w:r>
      <w:r w:rsidRPr="001D3FF4">
        <w:t xml:space="preserve"> considers that the agreement reached with the European Parliament is balanced and takes into account </w:t>
      </w:r>
      <w:r w:rsidR="00B14855" w:rsidRPr="001D3FF4">
        <w:t>the</w:t>
      </w:r>
      <w:r w:rsidRPr="001D3FF4">
        <w:t xml:space="preserve"> concerns raised by Member States throughout the negotiations.</w:t>
      </w:r>
    </w:p>
    <w:p w:rsidR="00F15CD6" w:rsidRPr="001D3FF4" w:rsidRDefault="001D3FF4" w:rsidP="00592014">
      <w:pPr>
        <w:pStyle w:val="Point123"/>
        <w:numPr>
          <w:ilvl w:val="0"/>
          <w:numId w:val="0"/>
        </w:numPr>
        <w:rPr>
          <w:color w:val="000000"/>
        </w:rPr>
      </w:pPr>
      <w:r>
        <w:rPr>
          <w:b/>
          <w:bCs/>
          <w:color w:val="000000"/>
        </w:rPr>
        <w:br w:type="page"/>
      </w:r>
      <w:r w:rsidR="00F15CD6" w:rsidRPr="001D3FF4">
        <w:rPr>
          <w:b/>
          <w:bCs/>
          <w:color w:val="000000"/>
        </w:rPr>
        <w:lastRenderedPageBreak/>
        <w:t>CONCLUSION</w:t>
      </w:r>
    </w:p>
    <w:p w:rsidR="00F85886" w:rsidRPr="001D3FF4" w:rsidRDefault="00592014" w:rsidP="00592014">
      <w:pPr>
        <w:pStyle w:val="Point123"/>
        <w:numPr>
          <w:ilvl w:val="0"/>
          <w:numId w:val="51"/>
        </w:numPr>
      </w:pPr>
      <w:r w:rsidRPr="001D3FF4">
        <w:t xml:space="preserve">In light of the above, the </w:t>
      </w:r>
      <w:r w:rsidRPr="001D3FF4">
        <w:rPr>
          <w:u w:val="single"/>
        </w:rPr>
        <w:t>Permanent Representatives Committee</w:t>
      </w:r>
      <w:r w:rsidRPr="001D3FF4">
        <w:t xml:space="preserve"> is asked to examine and approve the text in the annex.</w:t>
      </w:r>
    </w:p>
    <w:p w:rsidR="00D046FC" w:rsidRPr="001D3FF4" w:rsidRDefault="00D046FC" w:rsidP="00592014"/>
    <w:p w:rsidR="00FE5AF1" w:rsidRPr="001D3FF4" w:rsidRDefault="00FE5AF1" w:rsidP="00592014">
      <w:pPr>
        <w:pStyle w:val="FinalLine"/>
      </w:pPr>
    </w:p>
    <w:p w:rsidR="00484EDD" w:rsidRPr="001D3FF4" w:rsidRDefault="00484EDD" w:rsidP="00592014"/>
    <w:p w:rsidR="00FE5AF1" w:rsidRPr="001D3FF4" w:rsidRDefault="00FE5AF1" w:rsidP="00592014">
      <w:pPr>
        <w:sectPr w:rsidR="00FE5AF1" w:rsidRPr="001D3FF4" w:rsidSect="00EA6097">
          <w:footerReference w:type="default" r:id="rId9"/>
          <w:footerReference w:type="first" r:id="rId10"/>
          <w:pgSz w:w="11907" w:h="16840" w:code="9"/>
          <w:pgMar w:top="624" w:right="1134" w:bottom="1134" w:left="1134" w:header="567" w:footer="567" w:gutter="0"/>
          <w:pgNumType w:start="1"/>
          <w:cols w:space="708"/>
          <w:titlePg/>
          <w:docGrid w:linePitch="360"/>
        </w:sectPr>
      </w:pPr>
    </w:p>
    <w:p w:rsidR="00006308" w:rsidRPr="001D3FF4" w:rsidRDefault="00FE5AF1" w:rsidP="00592014">
      <w:pPr>
        <w:pStyle w:val="Annex"/>
      </w:pPr>
      <w:r w:rsidRPr="001D3FF4">
        <w:lastRenderedPageBreak/>
        <w:t>ANNEX</w:t>
      </w:r>
    </w:p>
    <w:p w:rsidR="00B02B6D" w:rsidRPr="001D3FF4" w:rsidRDefault="00B02B6D" w:rsidP="00592014"/>
    <w:p w:rsidR="008C0E1B" w:rsidRPr="001D3FF4" w:rsidRDefault="008C0E1B" w:rsidP="00592014">
      <w:pPr>
        <w:jc w:val="center"/>
        <w:rPr>
          <w:bCs/>
        </w:rPr>
      </w:pPr>
      <w:r w:rsidRPr="001D3FF4">
        <w:rPr>
          <w:bCs/>
        </w:rPr>
        <w:t>Proposal for a</w:t>
      </w:r>
    </w:p>
    <w:p w:rsidR="00006308" w:rsidRPr="001D3FF4" w:rsidRDefault="008C0E1B" w:rsidP="00592014">
      <w:pPr>
        <w:jc w:val="center"/>
      </w:pPr>
      <w:r w:rsidRPr="001D3FF4">
        <w:t>Regulation of the European Parliament and of the Council establishing a framework for the provision of port services and financial transparency of ports</w:t>
      </w:r>
    </w:p>
    <w:p w:rsidR="008C0E1B" w:rsidRPr="001D3FF4" w:rsidRDefault="008C0E1B" w:rsidP="00592014">
      <w:pPr>
        <w:rPr>
          <w:lang w:eastAsia="de-DE"/>
        </w:rPr>
      </w:pPr>
      <w:r w:rsidRPr="001D3FF4">
        <w:rPr>
          <w:lang w:eastAsia="de-DE"/>
        </w:rPr>
        <w:t>THE EUROPEAN PARLIAMENT AND THE COUNCIL OF THE EUROPEAN UNION,</w:t>
      </w:r>
    </w:p>
    <w:p w:rsidR="008C0E1B" w:rsidRPr="001D3FF4" w:rsidRDefault="008C0E1B" w:rsidP="00592014">
      <w:pPr>
        <w:rPr>
          <w:lang w:eastAsia="de-DE"/>
        </w:rPr>
      </w:pPr>
      <w:r w:rsidRPr="001D3FF4">
        <w:rPr>
          <w:lang w:eastAsia="de-DE"/>
        </w:rPr>
        <w:t>Having regard to the Treaty on the Functioning of the European Union, and in particular Article 100(2) thereof,</w:t>
      </w:r>
    </w:p>
    <w:p w:rsidR="008C0E1B" w:rsidRPr="001D3FF4" w:rsidRDefault="008C0E1B" w:rsidP="00592014">
      <w:pPr>
        <w:rPr>
          <w:lang w:eastAsia="de-DE"/>
        </w:rPr>
      </w:pPr>
      <w:r w:rsidRPr="001D3FF4">
        <w:rPr>
          <w:lang w:eastAsia="de-DE"/>
        </w:rPr>
        <w:t>Having regard to the proposal from the European Commission,</w:t>
      </w:r>
    </w:p>
    <w:p w:rsidR="008C0E1B" w:rsidRPr="001D3FF4" w:rsidRDefault="008C0E1B" w:rsidP="00592014">
      <w:pPr>
        <w:rPr>
          <w:lang w:eastAsia="de-DE"/>
        </w:rPr>
      </w:pPr>
      <w:r w:rsidRPr="001D3FF4">
        <w:rPr>
          <w:lang w:eastAsia="de-DE"/>
        </w:rPr>
        <w:t>After transmission of the draft legislative act to the national parliaments,</w:t>
      </w:r>
    </w:p>
    <w:p w:rsidR="008C0E1B" w:rsidRPr="001D3FF4" w:rsidRDefault="008C0E1B" w:rsidP="00592014">
      <w:pPr>
        <w:rPr>
          <w:lang w:eastAsia="de-DE"/>
        </w:rPr>
      </w:pPr>
      <w:r w:rsidRPr="001D3FF4">
        <w:rPr>
          <w:lang w:eastAsia="de-DE"/>
        </w:rPr>
        <w:t>Having regard to the opinion of the European Economic and Social Committee</w:t>
      </w:r>
      <w:r w:rsidRPr="001D3FF4">
        <w:rPr>
          <w:rStyle w:val="Fotnotereferanse"/>
          <w:lang w:eastAsia="de-DE"/>
        </w:rPr>
        <w:footnoteReference w:id="3"/>
      </w:r>
      <w:r w:rsidRPr="001D3FF4">
        <w:rPr>
          <w:lang w:eastAsia="de-DE"/>
        </w:rPr>
        <w:t>,</w:t>
      </w:r>
    </w:p>
    <w:p w:rsidR="008C0E1B" w:rsidRPr="001D3FF4" w:rsidRDefault="008C0E1B" w:rsidP="00592014">
      <w:pPr>
        <w:rPr>
          <w:lang w:eastAsia="de-DE"/>
        </w:rPr>
      </w:pPr>
      <w:r w:rsidRPr="001D3FF4">
        <w:rPr>
          <w:lang w:eastAsia="de-DE"/>
        </w:rPr>
        <w:t>Having regard to the opinion of the Committee of the Regions</w:t>
      </w:r>
      <w:r w:rsidRPr="001D3FF4">
        <w:rPr>
          <w:rStyle w:val="Fotnotereferanse"/>
          <w:lang w:eastAsia="de-DE"/>
        </w:rPr>
        <w:footnoteReference w:id="4"/>
      </w:r>
      <w:r w:rsidRPr="001D3FF4">
        <w:rPr>
          <w:lang w:eastAsia="de-DE"/>
        </w:rPr>
        <w:t>,</w:t>
      </w:r>
    </w:p>
    <w:p w:rsidR="008C0E1B" w:rsidRPr="001D3FF4" w:rsidRDefault="008C0E1B" w:rsidP="00592014">
      <w:pPr>
        <w:rPr>
          <w:lang w:eastAsia="de-DE"/>
        </w:rPr>
      </w:pPr>
      <w:r w:rsidRPr="001D3FF4">
        <w:rPr>
          <w:lang w:eastAsia="de-DE"/>
        </w:rPr>
        <w:t>Acting in accordance with the ordinary legislative procedure,</w:t>
      </w:r>
    </w:p>
    <w:p w:rsidR="008C0E1B" w:rsidRPr="001D3FF4" w:rsidRDefault="008C0E1B" w:rsidP="00592014">
      <w:pPr>
        <w:rPr>
          <w:lang w:eastAsia="de-DE"/>
        </w:rPr>
      </w:pPr>
      <w:r w:rsidRPr="001D3FF4">
        <w:rPr>
          <w:lang w:eastAsia="de-DE"/>
        </w:rPr>
        <w:t>Whereas:</w:t>
      </w:r>
    </w:p>
    <w:p w:rsidR="008C0E1B" w:rsidRPr="001D3FF4" w:rsidRDefault="008C0E1B" w:rsidP="00592014">
      <w:pPr>
        <w:rPr>
          <w:lang w:eastAsia="de-DE"/>
        </w:rPr>
      </w:pPr>
      <w:r w:rsidRPr="001D3FF4">
        <w:rPr>
          <w:lang w:eastAsia="de-DE"/>
        </w:rPr>
        <w:t>[</w:t>
      </w:r>
      <w:r w:rsidRPr="001D3FF4">
        <w:rPr>
          <w:i/>
          <w:iCs/>
          <w:lang w:eastAsia="de-DE"/>
        </w:rPr>
        <w:t>recitals not included</w:t>
      </w:r>
      <w:r w:rsidRPr="001D3FF4">
        <w:rPr>
          <w:lang w:eastAsia="de-DE"/>
        </w:rPr>
        <w:t>]</w:t>
      </w:r>
    </w:p>
    <w:p w:rsidR="008C0E1B" w:rsidRPr="001D3FF4" w:rsidRDefault="008C0E1B" w:rsidP="00592014">
      <w:pPr>
        <w:rPr>
          <w:noProof/>
        </w:rPr>
      </w:pPr>
      <w:r w:rsidRPr="001D3FF4">
        <w:rPr>
          <w:noProof/>
        </w:rPr>
        <w:t>HAVE ADOPTED THIS REGULATION:</w:t>
      </w:r>
    </w:p>
    <w:p w:rsidR="008C0E1B" w:rsidRPr="001D3FF4" w:rsidRDefault="00592014" w:rsidP="00592014">
      <w:pPr>
        <w:jc w:val="center"/>
        <w:rPr>
          <w:lang w:eastAsia="de-DE"/>
        </w:rPr>
      </w:pPr>
      <w:r w:rsidRPr="001D3FF4">
        <w:rPr>
          <w:lang w:eastAsia="de-DE"/>
        </w:rPr>
        <w:br w:type="page"/>
      </w:r>
      <w:r w:rsidR="008C0E1B" w:rsidRPr="001D3FF4">
        <w:rPr>
          <w:lang w:eastAsia="de-DE"/>
        </w:rPr>
        <w:lastRenderedPageBreak/>
        <w:t>CHAPTER I – Subject matter, scope and definitions</w:t>
      </w:r>
    </w:p>
    <w:p w:rsidR="00592014" w:rsidRPr="001D3FF4" w:rsidRDefault="008C0E1B" w:rsidP="00592014">
      <w:pPr>
        <w:jc w:val="center"/>
      </w:pPr>
      <w:r w:rsidRPr="001D3FF4">
        <w:t>Article 1</w:t>
      </w:r>
    </w:p>
    <w:p w:rsidR="008C0E1B" w:rsidRPr="001D3FF4" w:rsidRDefault="008C0E1B" w:rsidP="00592014">
      <w:pPr>
        <w:jc w:val="center"/>
      </w:pPr>
      <w:r w:rsidRPr="001D3FF4">
        <w:t>Subject matter and scope</w:t>
      </w:r>
    </w:p>
    <w:p w:rsidR="008C0E1B" w:rsidRPr="001D3FF4" w:rsidRDefault="008C0E1B" w:rsidP="00592014">
      <w:r w:rsidRPr="001D3FF4">
        <w:t>1.This Regulation establishes:</w:t>
      </w:r>
    </w:p>
    <w:p w:rsidR="008C0E1B" w:rsidRPr="001D3FF4" w:rsidRDefault="008C0E1B" w:rsidP="00592014">
      <w:pPr>
        <w:rPr>
          <w:bCs/>
          <w:iCs/>
          <w:lang w:eastAsia="de-DE"/>
        </w:rPr>
      </w:pPr>
      <w:r w:rsidRPr="001D3FF4">
        <w:rPr>
          <w:bCs/>
          <w:lang w:eastAsia="de-DE"/>
        </w:rPr>
        <w:t xml:space="preserve">(a) a framework for </w:t>
      </w:r>
      <w:r w:rsidRPr="001D3FF4">
        <w:rPr>
          <w:bCs/>
          <w:iCs/>
          <w:lang w:eastAsia="de-DE"/>
        </w:rPr>
        <w:t>the provision of port services;</w:t>
      </w:r>
    </w:p>
    <w:p w:rsidR="008C0E1B" w:rsidRPr="001D3FF4" w:rsidRDefault="008C0E1B" w:rsidP="00592014">
      <w:pPr>
        <w:rPr>
          <w:lang w:eastAsia="de-DE"/>
        </w:rPr>
      </w:pPr>
      <w:r w:rsidRPr="001D3FF4">
        <w:rPr>
          <w:lang w:eastAsia="de-DE"/>
        </w:rPr>
        <w:t xml:space="preserve">(b) common rules on financial transparency and </w:t>
      </w:r>
      <w:r w:rsidRPr="001D3FF4">
        <w:rPr>
          <w:bCs/>
          <w:iCs/>
          <w:lang w:eastAsia="de-DE"/>
        </w:rPr>
        <w:t>on</w:t>
      </w:r>
      <w:r w:rsidRPr="001D3FF4">
        <w:rPr>
          <w:lang w:eastAsia="de-DE"/>
        </w:rPr>
        <w:t xml:space="preserve"> </w:t>
      </w:r>
      <w:r w:rsidRPr="001D3FF4">
        <w:rPr>
          <w:bCs/>
          <w:iCs/>
          <w:lang w:eastAsia="de-DE"/>
        </w:rPr>
        <w:t>port service and port infrastructure</w:t>
      </w:r>
      <w:r w:rsidRPr="001D3FF4">
        <w:rPr>
          <w:bCs/>
          <w:lang w:eastAsia="de-DE"/>
        </w:rPr>
        <w:t xml:space="preserve"> </w:t>
      </w:r>
      <w:r w:rsidRPr="001D3FF4">
        <w:rPr>
          <w:lang w:eastAsia="de-DE"/>
        </w:rPr>
        <w:t>charges.</w:t>
      </w:r>
    </w:p>
    <w:p w:rsidR="008C0E1B" w:rsidRPr="001D3FF4" w:rsidRDefault="008C0E1B" w:rsidP="00592014">
      <w:pPr>
        <w:rPr>
          <w:i/>
          <w:iCs/>
          <w:lang w:eastAsia="de-DE"/>
        </w:rPr>
      </w:pPr>
      <w:r w:rsidRPr="001D3FF4">
        <w:rPr>
          <w:lang w:eastAsia="de-DE"/>
        </w:rPr>
        <w:t xml:space="preserve">2. This Regulation shall apply to the provision of the following categories of port services, either inside the port area or on the waterway access to and from the </w:t>
      </w:r>
      <w:r w:rsidRPr="00C7511F">
        <w:rPr>
          <w:lang w:eastAsia="de-DE"/>
        </w:rPr>
        <w:t>port:</w:t>
      </w:r>
    </w:p>
    <w:p w:rsidR="008C0E1B" w:rsidRPr="001D3FF4" w:rsidRDefault="007E59E1" w:rsidP="00592014">
      <w:pPr>
        <w:rPr>
          <w:i/>
          <w:iCs/>
          <w:lang w:eastAsia="de-DE"/>
        </w:rPr>
      </w:pPr>
      <w:r w:rsidRPr="001D3FF4">
        <w:rPr>
          <w:lang w:eastAsia="de-DE"/>
        </w:rPr>
        <w:t>(a) bunkering</w:t>
      </w:r>
      <w:r w:rsidRPr="00C7511F">
        <w:rPr>
          <w:lang w:eastAsia="de-DE"/>
        </w:rPr>
        <w:t>;</w:t>
      </w:r>
    </w:p>
    <w:p w:rsidR="007E59E1" w:rsidRPr="001D3FF4" w:rsidRDefault="007E59E1" w:rsidP="00592014">
      <w:pPr>
        <w:rPr>
          <w:lang w:eastAsia="de-DE"/>
        </w:rPr>
      </w:pPr>
      <w:r w:rsidRPr="001D3FF4">
        <w:rPr>
          <w:lang w:eastAsia="de-DE"/>
        </w:rPr>
        <w:t>(b) cargo handling;</w:t>
      </w:r>
    </w:p>
    <w:p w:rsidR="007E59E1" w:rsidRPr="001D3FF4" w:rsidRDefault="007E59E1" w:rsidP="00592014">
      <w:pPr>
        <w:rPr>
          <w:bCs/>
          <w:iCs/>
          <w:lang w:eastAsia="de-DE"/>
        </w:rPr>
      </w:pPr>
      <w:r w:rsidRPr="001D3FF4">
        <w:rPr>
          <w:lang w:eastAsia="de-DE"/>
        </w:rPr>
        <w:t xml:space="preserve">(c) </w:t>
      </w:r>
      <w:r w:rsidRPr="001D3FF4">
        <w:rPr>
          <w:bCs/>
          <w:iCs/>
          <w:lang w:eastAsia="de-DE"/>
        </w:rPr>
        <w:t>[…]</w:t>
      </w:r>
    </w:p>
    <w:p w:rsidR="007E59E1" w:rsidRPr="001D3FF4" w:rsidRDefault="007E59E1" w:rsidP="00592014">
      <w:pPr>
        <w:rPr>
          <w:lang w:eastAsia="de-DE"/>
        </w:rPr>
      </w:pPr>
      <w:r w:rsidRPr="001D3FF4">
        <w:rPr>
          <w:lang w:eastAsia="de-DE"/>
        </w:rPr>
        <w:t>(d) mooring;</w:t>
      </w:r>
    </w:p>
    <w:p w:rsidR="007E59E1" w:rsidRPr="001D3FF4" w:rsidRDefault="007E59E1" w:rsidP="00592014">
      <w:pPr>
        <w:rPr>
          <w:lang w:eastAsia="de-DE"/>
        </w:rPr>
      </w:pPr>
      <w:r w:rsidRPr="001D3FF4">
        <w:rPr>
          <w:lang w:eastAsia="de-DE"/>
        </w:rPr>
        <w:t>(e) passenger services;</w:t>
      </w:r>
    </w:p>
    <w:p w:rsidR="007E59E1" w:rsidRPr="001D3FF4" w:rsidRDefault="007E59E1" w:rsidP="00592014">
      <w:pPr>
        <w:rPr>
          <w:iCs/>
          <w:lang w:eastAsia="de-DE"/>
        </w:rPr>
      </w:pPr>
      <w:r w:rsidRPr="001D3FF4">
        <w:rPr>
          <w:lang w:eastAsia="de-DE"/>
        </w:rPr>
        <w:t xml:space="preserve">(f) </w:t>
      </w:r>
      <w:r w:rsidRPr="001D3FF4">
        <w:rPr>
          <w:iCs/>
          <w:lang w:eastAsia="de-DE"/>
        </w:rPr>
        <w:t>collection of ship-generated waste and cargo residues;</w:t>
      </w:r>
    </w:p>
    <w:p w:rsidR="007E59E1" w:rsidRPr="001D3FF4" w:rsidRDefault="007E59E1" w:rsidP="00592014">
      <w:pPr>
        <w:rPr>
          <w:lang w:eastAsia="de-DE"/>
        </w:rPr>
      </w:pPr>
      <w:r w:rsidRPr="001D3FF4">
        <w:rPr>
          <w:lang w:eastAsia="de-DE"/>
        </w:rPr>
        <w:t>(g) pilotage</w:t>
      </w:r>
      <w:r w:rsidRPr="00C7511F">
        <w:rPr>
          <w:lang w:eastAsia="de-DE"/>
        </w:rPr>
        <w:t>;</w:t>
      </w:r>
      <w:r w:rsidRPr="001D3FF4">
        <w:rPr>
          <w:lang w:eastAsia="de-DE"/>
        </w:rPr>
        <w:t xml:space="preserve"> and</w:t>
      </w:r>
    </w:p>
    <w:p w:rsidR="007E59E1" w:rsidRPr="001D3FF4" w:rsidRDefault="007E59E1" w:rsidP="00592014">
      <w:pPr>
        <w:rPr>
          <w:lang w:eastAsia="de-DE"/>
        </w:rPr>
      </w:pPr>
      <w:r w:rsidRPr="001D3FF4">
        <w:rPr>
          <w:lang w:eastAsia="de-DE"/>
        </w:rPr>
        <w:t>(h) towage.</w:t>
      </w:r>
    </w:p>
    <w:p w:rsidR="007E59E1" w:rsidRPr="001D3FF4" w:rsidRDefault="007E59E1" w:rsidP="00592014">
      <w:pPr>
        <w:rPr>
          <w:bCs/>
          <w:iCs/>
          <w:lang w:eastAsia="de-DE"/>
        </w:rPr>
      </w:pPr>
      <w:r w:rsidRPr="001D3FF4">
        <w:rPr>
          <w:bCs/>
          <w:iCs/>
          <w:lang w:eastAsia="de-DE"/>
        </w:rPr>
        <w:t>2a. Article 12(2) shall also apply to dredging.</w:t>
      </w:r>
    </w:p>
    <w:p w:rsidR="007E59E1" w:rsidRPr="001D3FF4" w:rsidRDefault="007E59E1" w:rsidP="00592014">
      <w:pPr>
        <w:rPr>
          <w:lang w:eastAsia="de-DE"/>
        </w:rPr>
      </w:pPr>
      <w:r w:rsidRPr="001D3FF4">
        <w:rPr>
          <w:lang w:eastAsia="de-DE"/>
        </w:rPr>
        <w:t xml:space="preserve">3. This Regulation shall apply to all </w:t>
      </w:r>
      <w:r w:rsidRPr="001D3FF4">
        <w:rPr>
          <w:iCs/>
          <w:lang w:eastAsia="de-DE"/>
        </w:rPr>
        <w:t>maritime</w:t>
      </w:r>
      <w:r w:rsidRPr="001D3FF4">
        <w:rPr>
          <w:lang w:eastAsia="de-DE"/>
        </w:rPr>
        <w:t xml:space="preserve"> ports</w:t>
      </w:r>
      <w:r w:rsidRPr="001D3FF4">
        <w:rPr>
          <w:bCs/>
          <w:lang w:eastAsia="de-DE"/>
        </w:rPr>
        <w:t xml:space="preserve"> </w:t>
      </w:r>
      <w:r w:rsidRPr="001D3FF4">
        <w:rPr>
          <w:lang w:eastAsia="de-DE"/>
        </w:rPr>
        <w:t xml:space="preserve">of the trans-European transport network, as </w:t>
      </w:r>
      <w:r w:rsidRPr="001D3FF4">
        <w:rPr>
          <w:bCs/>
          <w:iCs/>
          <w:lang w:eastAsia="de-DE"/>
        </w:rPr>
        <w:t xml:space="preserve">listed </w:t>
      </w:r>
      <w:r w:rsidRPr="001D3FF4">
        <w:rPr>
          <w:lang w:eastAsia="de-DE"/>
        </w:rPr>
        <w:t xml:space="preserve">in Annex </w:t>
      </w:r>
      <w:r w:rsidRPr="001D3FF4">
        <w:rPr>
          <w:bCs/>
          <w:iCs/>
          <w:lang w:eastAsia="de-DE"/>
        </w:rPr>
        <w:t>II</w:t>
      </w:r>
      <w:r w:rsidRPr="001D3FF4">
        <w:rPr>
          <w:lang w:eastAsia="de-DE"/>
        </w:rPr>
        <w:t xml:space="preserve"> of Regulation </w:t>
      </w:r>
      <w:r w:rsidRPr="001D3FF4">
        <w:rPr>
          <w:bCs/>
          <w:iCs/>
          <w:lang w:eastAsia="de-DE"/>
        </w:rPr>
        <w:t>(EU) No 1315/2013 of the European Parliament and of the Council</w:t>
      </w:r>
      <w:r w:rsidRPr="001D3FF4">
        <w:rPr>
          <w:rStyle w:val="Fotnotereferanse"/>
          <w:bCs/>
          <w:iCs/>
          <w:lang w:eastAsia="de-DE"/>
        </w:rPr>
        <w:footnoteReference w:id="5"/>
      </w:r>
      <w:r w:rsidRPr="001D3FF4">
        <w:rPr>
          <w:lang w:eastAsia="de-DE"/>
        </w:rPr>
        <w:t>.</w:t>
      </w:r>
      <w:r w:rsidRPr="001D3FF4">
        <w:rPr>
          <w:rStyle w:val="Fotnotereferanse"/>
          <w:lang w:eastAsia="de-DE"/>
        </w:rPr>
        <w:footnoteReference w:id="6"/>
      </w:r>
    </w:p>
    <w:p w:rsidR="007E59E1" w:rsidRPr="001D3FF4" w:rsidRDefault="007E59E1" w:rsidP="00592014">
      <w:pPr>
        <w:rPr>
          <w:bCs/>
          <w:lang w:eastAsia="de-DE"/>
        </w:rPr>
      </w:pPr>
      <w:r w:rsidRPr="001D3FF4">
        <w:rPr>
          <w:lang w:eastAsia="de-DE"/>
        </w:rPr>
        <w:lastRenderedPageBreak/>
        <w:t xml:space="preserve">3a. </w:t>
      </w:r>
      <w:r w:rsidRPr="001D3FF4">
        <w:rPr>
          <w:bCs/>
          <w:lang w:eastAsia="de-DE"/>
        </w:rPr>
        <w:t>Member States may decide not to apply this Regulation to maritime ports of the comprehensive trans-European transport network located in the outermost regions as referred to in Article 349 TFEU. When Member States decide not to apply this Regulation to such maritime ports, they shall notify that decision to the Commission.</w:t>
      </w:r>
    </w:p>
    <w:p w:rsidR="007E59E1" w:rsidRPr="001D3FF4" w:rsidRDefault="007E59E1" w:rsidP="00592014">
      <w:pPr>
        <w:rPr>
          <w:lang w:eastAsia="de-DE"/>
        </w:rPr>
      </w:pPr>
      <w:r w:rsidRPr="001D3FF4">
        <w:rPr>
          <w:lang w:eastAsia="de-DE"/>
        </w:rPr>
        <w:t xml:space="preserve">4. </w:t>
      </w:r>
      <w:r w:rsidRPr="001D3FF4">
        <w:rPr>
          <w:color w:val="000000"/>
          <w:lang w:eastAsia="de-DE"/>
        </w:rPr>
        <w:t>Member</w:t>
      </w:r>
      <w:r w:rsidRPr="001D3FF4">
        <w:rPr>
          <w:lang w:eastAsia="de-DE"/>
        </w:rPr>
        <w:t xml:space="preserve"> States may also apply this Regulation to other </w:t>
      </w:r>
      <w:r w:rsidRPr="001D3FF4">
        <w:rPr>
          <w:iCs/>
          <w:lang w:eastAsia="de-DE"/>
        </w:rPr>
        <w:t>maritime</w:t>
      </w:r>
      <w:r w:rsidRPr="001D3FF4">
        <w:rPr>
          <w:b/>
          <w:bCs/>
          <w:iCs/>
          <w:lang w:eastAsia="de-DE"/>
        </w:rPr>
        <w:t xml:space="preserve"> </w:t>
      </w:r>
      <w:r w:rsidRPr="001D3FF4">
        <w:rPr>
          <w:lang w:eastAsia="de-DE"/>
        </w:rPr>
        <w:t xml:space="preserve">ports. When Member States decide to apply this Regulation to other </w:t>
      </w:r>
      <w:r w:rsidRPr="001D3FF4">
        <w:rPr>
          <w:iCs/>
          <w:lang w:eastAsia="de-DE"/>
        </w:rPr>
        <w:t>maritime</w:t>
      </w:r>
      <w:r w:rsidRPr="001D3FF4">
        <w:rPr>
          <w:b/>
          <w:bCs/>
          <w:iCs/>
          <w:lang w:eastAsia="de-DE"/>
        </w:rPr>
        <w:t xml:space="preserve"> </w:t>
      </w:r>
      <w:r w:rsidRPr="001D3FF4">
        <w:rPr>
          <w:lang w:eastAsia="de-DE"/>
        </w:rPr>
        <w:t xml:space="preserve">ports they shall notify their </w:t>
      </w:r>
      <w:r w:rsidRPr="001D3FF4">
        <w:rPr>
          <w:iCs/>
          <w:lang w:eastAsia="de-DE"/>
        </w:rPr>
        <w:t>decision</w:t>
      </w:r>
      <w:r w:rsidRPr="001D3FF4">
        <w:rPr>
          <w:bCs/>
          <w:lang w:eastAsia="de-DE"/>
        </w:rPr>
        <w:t xml:space="preserve"> </w:t>
      </w:r>
      <w:r w:rsidRPr="001D3FF4">
        <w:rPr>
          <w:lang w:eastAsia="de-DE"/>
        </w:rPr>
        <w:t>to the Commission.</w:t>
      </w:r>
    </w:p>
    <w:p w:rsidR="003670B0" w:rsidRPr="001D3FF4" w:rsidRDefault="003670B0" w:rsidP="00592014">
      <w:pPr>
        <w:rPr>
          <w:lang w:eastAsia="de-DE"/>
        </w:rPr>
      </w:pPr>
      <w:r w:rsidRPr="001D3FF4">
        <w:rPr>
          <w:lang w:eastAsia="de-DE"/>
        </w:rPr>
        <w:t xml:space="preserve">4a. </w:t>
      </w:r>
      <w:r w:rsidR="006977D5" w:rsidRPr="001D3FF4">
        <w:rPr>
          <w:lang w:eastAsia="de-DE"/>
        </w:rPr>
        <w:t>This Regulation is without prejudice to Directive 2014/23/EU of the European Parliament and of the Council</w:t>
      </w:r>
      <w:r w:rsidR="006977D5" w:rsidRPr="001D3FF4">
        <w:rPr>
          <w:rStyle w:val="Fotnotereferanse"/>
          <w:lang w:eastAsia="de-DE"/>
        </w:rPr>
        <w:footnoteReference w:id="7"/>
      </w:r>
      <w:r w:rsidR="006977D5" w:rsidRPr="001D3FF4">
        <w:rPr>
          <w:lang w:eastAsia="de-DE"/>
        </w:rPr>
        <w:t>, Directive</w:t>
      </w:r>
      <w:r w:rsidR="006977D5" w:rsidRPr="001D3FF4">
        <w:rPr>
          <w:rStyle w:val="Sterk"/>
          <w:b w:val="0"/>
          <w:bCs w:val="0"/>
          <w:lang w:eastAsia="de-DE"/>
        </w:rPr>
        <w:t xml:space="preserve"> 2014/24/EU of the European Parliament and of the Council</w:t>
      </w:r>
      <w:r w:rsidR="006977D5" w:rsidRPr="001D3FF4">
        <w:rPr>
          <w:rStyle w:val="Fotnotereferanse"/>
          <w:lang w:eastAsia="de-DE"/>
        </w:rPr>
        <w:footnoteReference w:id="8"/>
      </w:r>
      <w:r w:rsidR="006977D5" w:rsidRPr="001D3FF4">
        <w:rPr>
          <w:rStyle w:val="Sterk"/>
          <w:b w:val="0"/>
          <w:bCs w:val="0"/>
          <w:lang w:eastAsia="de-DE"/>
        </w:rPr>
        <w:t xml:space="preserve"> and </w:t>
      </w:r>
      <w:r w:rsidR="006977D5" w:rsidRPr="001D3FF4">
        <w:rPr>
          <w:lang w:eastAsia="de-DE"/>
        </w:rPr>
        <w:t xml:space="preserve">Directive </w:t>
      </w:r>
      <w:r w:rsidR="006977D5" w:rsidRPr="001D3FF4">
        <w:rPr>
          <w:rStyle w:val="Sterk"/>
          <w:b w:val="0"/>
          <w:bCs w:val="0"/>
          <w:lang w:eastAsia="de-DE"/>
        </w:rPr>
        <w:t>2014/25/EU</w:t>
      </w:r>
      <w:r w:rsidR="006977D5" w:rsidRPr="001D3FF4">
        <w:rPr>
          <w:rStyle w:val="Sterk"/>
          <w:b w:val="0"/>
          <w:bCs w:val="0"/>
          <w:i/>
          <w:iCs/>
          <w:lang w:eastAsia="de-DE"/>
        </w:rPr>
        <w:t>.</w:t>
      </w:r>
    </w:p>
    <w:p w:rsidR="007E59E1" w:rsidRPr="001D3FF4" w:rsidRDefault="007E59E1" w:rsidP="00592014">
      <w:pPr>
        <w:pStyle w:val="Normal6"/>
        <w:spacing w:after="0" w:line="360" w:lineRule="auto"/>
        <w:jc w:val="center"/>
        <w:rPr>
          <w:lang w:eastAsia="de-DE"/>
        </w:rPr>
      </w:pPr>
      <w:r w:rsidRPr="001D3FF4">
        <w:rPr>
          <w:lang w:eastAsia="de-DE"/>
        </w:rPr>
        <w:t>Article 2</w:t>
      </w:r>
    </w:p>
    <w:p w:rsidR="007E59E1" w:rsidRPr="001D3FF4" w:rsidRDefault="007E59E1" w:rsidP="00592014">
      <w:pPr>
        <w:jc w:val="center"/>
        <w:rPr>
          <w:lang w:eastAsia="de-DE"/>
        </w:rPr>
      </w:pPr>
      <w:r w:rsidRPr="001D3FF4">
        <w:rPr>
          <w:lang w:eastAsia="de-DE"/>
        </w:rPr>
        <w:t>Definitions</w:t>
      </w:r>
    </w:p>
    <w:p w:rsidR="007E59E1" w:rsidRPr="001D3FF4" w:rsidRDefault="007E59E1" w:rsidP="00592014">
      <w:pPr>
        <w:rPr>
          <w:color w:val="000000"/>
          <w:lang w:eastAsia="de-DE"/>
        </w:rPr>
      </w:pPr>
      <w:r w:rsidRPr="001D3FF4">
        <w:rPr>
          <w:color w:val="000000"/>
          <w:lang w:eastAsia="de-DE"/>
        </w:rPr>
        <w:t xml:space="preserve">For the purposes of this </w:t>
      </w:r>
      <w:r w:rsidRPr="001D3FF4">
        <w:rPr>
          <w:lang w:eastAsia="de-DE"/>
        </w:rPr>
        <w:t>Regulation</w:t>
      </w:r>
      <w:r w:rsidRPr="001D3FF4">
        <w:rPr>
          <w:color w:val="000000"/>
          <w:lang w:eastAsia="de-DE"/>
        </w:rPr>
        <w:t>:</w:t>
      </w:r>
    </w:p>
    <w:p w:rsidR="007E59E1" w:rsidRPr="001D3FF4" w:rsidRDefault="007E59E1" w:rsidP="00592014">
      <w:pPr>
        <w:rPr>
          <w:lang w:eastAsia="de-DE"/>
        </w:rPr>
      </w:pPr>
      <w:r w:rsidRPr="001D3FF4">
        <w:rPr>
          <w:lang w:eastAsia="de-DE"/>
        </w:rPr>
        <w:t>1. "bunkering" means the provision of solid, liquid or gaseous fuel or any other energy source used for the propulsion of the waterborne vessel as well as for general and specific energy provision on board of the waterborne vessel whilst at berth;</w:t>
      </w:r>
    </w:p>
    <w:p w:rsidR="007E59E1" w:rsidRPr="001D3FF4" w:rsidRDefault="007E59E1" w:rsidP="00C7511F">
      <w:pPr>
        <w:rPr>
          <w:lang w:eastAsia="de-DE"/>
        </w:rPr>
      </w:pPr>
      <w:r w:rsidRPr="001D3FF4">
        <w:rPr>
          <w:lang w:eastAsia="de-DE"/>
        </w:rPr>
        <w:t xml:space="preserve">2. </w:t>
      </w:r>
      <w:r w:rsidR="00C7511F">
        <w:rPr>
          <w:lang w:eastAsia="de-DE"/>
        </w:rPr>
        <w:t>"</w:t>
      </w:r>
      <w:r w:rsidRPr="001D3FF4">
        <w:rPr>
          <w:lang w:eastAsia="de-DE"/>
        </w:rPr>
        <w:t>cargo handling services</w:t>
      </w:r>
      <w:r w:rsidR="00C7511F">
        <w:rPr>
          <w:lang w:eastAsia="de-DE"/>
        </w:rPr>
        <w:t>"</w:t>
      </w:r>
      <w:r w:rsidRPr="001D3FF4">
        <w:rPr>
          <w:lang w:eastAsia="de-DE"/>
        </w:rPr>
        <w:t xml:space="preserve"> means the organisation and handling of cargo between the carrying waterborne vessel and the shore</w:t>
      </w:r>
      <w:r w:rsidRPr="001D3FF4">
        <w:rPr>
          <w:b/>
          <w:lang w:eastAsia="de-DE"/>
        </w:rPr>
        <w:t>,</w:t>
      </w:r>
      <w:r w:rsidRPr="001D3FF4">
        <w:rPr>
          <w:lang w:eastAsia="de-DE"/>
        </w:rPr>
        <w:t xml:space="preserve"> be it for import, export or transit of the cargo, including the processing, </w:t>
      </w:r>
      <w:r w:rsidRPr="001D3FF4">
        <w:rPr>
          <w:bCs/>
          <w:lang w:eastAsia="de-DE"/>
        </w:rPr>
        <w:t>lashing, unlashing, stowing,</w:t>
      </w:r>
      <w:r w:rsidRPr="001D3FF4">
        <w:rPr>
          <w:b/>
          <w:lang w:eastAsia="de-DE"/>
        </w:rPr>
        <w:t xml:space="preserve"> </w:t>
      </w:r>
      <w:r w:rsidRPr="001D3FF4">
        <w:rPr>
          <w:lang w:eastAsia="de-DE"/>
        </w:rPr>
        <w:t>transporting and temporary storage of the cargo on the relevant cargo handling terminal and directly related to the transporting of the cargo, but excluding unless the Member State determines otherwise, warehousing, stripping, repackaging or any other value added services related to the handled cargo;</w:t>
      </w:r>
    </w:p>
    <w:p w:rsidR="007E59E1" w:rsidRPr="001D3FF4" w:rsidRDefault="00554C82" w:rsidP="00592014">
      <w:pPr>
        <w:rPr>
          <w:bCs/>
          <w:iCs/>
          <w:lang w:eastAsia="de-DE"/>
        </w:rPr>
      </w:pPr>
      <w:r>
        <w:rPr>
          <w:bCs/>
          <w:iCs/>
          <w:lang w:eastAsia="de-DE"/>
        </w:rPr>
        <w:br w:type="page"/>
      </w:r>
      <w:r w:rsidR="007E59E1" w:rsidRPr="001D3FF4">
        <w:rPr>
          <w:bCs/>
          <w:iCs/>
          <w:lang w:eastAsia="de-DE"/>
        </w:rPr>
        <w:lastRenderedPageBreak/>
        <w:t xml:space="preserve">2a. "competent authority" means any public or private body which, on behalf of a </w:t>
      </w:r>
      <w:r w:rsidR="007E59E1" w:rsidRPr="001D3FF4">
        <w:rPr>
          <w:bCs/>
          <w:lang w:eastAsia="de-DE"/>
        </w:rPr>
        <w:t>local,</w:t>
      </w:r>
      <w:r w:rsidR="007E59E1" w:rsidRPr="001D3FF4">
        <w:rPr>
          <w:bCs/>
          <w:iCs/>
          <w:lang w:eastAsia="de-DE"/>
        </w:rPr>
        <w:t xml:space="preserve"> regional or national level, is entitled to carry out under national law or instruments activities related to the organisation and </w:t>
      </w:r>
      <w:r w:rsidR="007E59E1" w:rsidRPr="001D3FF4">
        <w:rPr>
          <w:bCs/>
          <w:lang w:eastAsia="de-DE"/>
        </w:rPr>
        <w:t>administration</w:t>
      </w:r>
      <w:r w:rsidR="007E59E1" w:rsidRPr="001D3FF4">
        <w:rPr>
          <w:bCs/>
          <w:iCs/>
          <w:lang w:eastAsia="de-DE"/>
        </w:rPr>
        <w:t xml:space="preserve"> of port activities, in conjunction with or alternatively to the managing body of the port;</w:t>
      </w:r>
    </w:p>
    <w:p w:rsidR="007E59E1" w:rsidRPr="001D3FF4" w:rsidRDefault="007E59E1" w:rsidP="00592014">
      <w:pPr>
        <w:rPr>
          <w:lang w:eastAsia="de-DE"/>
        </w:rPr>
      </w:pPr>
      <w:r w:rsidRPr="001D3FF4">
        <w:rPr>
          <w:lang w:eastAsia="de-DE"/>
        </w:rPr>
        <w:t xml:space="preserve">3. "dredging" means the removal of sand, sediment or other substances from the bottom </w:t>
      </w:r>
      <w:r w:rsidRPr="001D3FF4">
        <w:rPr>
          <w:iCs/>
          <w:lang w:eastAsia="de-DE"/>
        </w:rPr>
        <w:t>of the waterway access to</w:t>
      </w:r>
      <w:r w:rsidRPr="001D3FF4">
        <w:rPr>
          <w:lang w:eastAsia="de-DE"/>
        </w:rPr>
        <w:t xml:space="preserve"> the port, </w:t>
      </w:r>
      <w:r w:rsidRPr="001D3FF4">
        <w:rPr>
          <w:iCs/>
          <w:lang w:eastAsia="de-DE"/>
        </w:rPr>
        <w:t>or</w:t>
      </w:r>
      <w:r w:rsidRPr="001D3FF4">
        <w:rPr>
          <w:lang w:eastAsia="de-DE"/>
        </w:rPr>
        <w:t xml:space="preserve"> </w:t>
      </w:r>
      <w:r w:rsidRPr="001D3FF4">
        <w:rPr>
          <w:iCs/>
          <w:lang w:eastAsia="de-DE"/>
        </w:rPr>
        <w:t xml:space="preserve">within </w:t>
      </w:r>
      <w:r w:rsidRPr="001D3FF4">
        <w:rPr>
          <w:lang w:eastAsia="de-DE"/>
        </w:rPr>
        <w:t>the</w:t>
      </w:r>
      <w:r w:rsidRPr="001D3FF4">
        <w:rPr>
          <w:iCs/>
          <w:lang w:eastAsia="de-DE"/>
        </w:rPr>
        <w:t xml:space="preserve"> port area that falls into the legal competence of the managing body of the port, including the disposal of the removed materials,</w:t>
      </w:r>
      <w:r w:rsidRPr="001D3FF4">
        <w:rPr>
          <w:lang w:eastAsia="de-DE"/>
        </w:rPr>
        <w:t xml:space="preserve"> in order to allow waterborne vessel to have access to the port and comprises both the initial removal (capital dredging) and the maintenance dredging in order to keep the waterway accessible, whilst not being a port service offered to the user;</w:t>
      </w:r>
    </w:p>
    <w:p w:rsidR="007E59E1" w:rsidRPr="001D3FF4" w:rsidRDefault="007E59E1" w:rsidP="00592014">
      <w:pPr>
        <w:rPr>
          <w:bCs/>
          <w:iCs/>
          <w:lang w:eastAsia="de-DE"/>
        </w:rPr>
      </w:pPr>
      <w:r w:rsidRPr="001D3FF4">
        <w:rPr>
          <w:lang w:eastAsia="de-DE"/>
        </w:rPr>
        <w:t xml:space="preserve">4. </w:t>
      </w:r>
      <w:r w:rsidRPr="001D3FF4">
        <w:rPr>
          <w:bCs/>
          <w:iCs/>
          <w:lang w:eastAsia="de-DE"/>
        </w:rPr>
        <w:t>[…]</w:t>
      </w:r>
    </w:p>
    <w:p w:rsidR="007E59E1" w:rsidRPr="001D3FF4" w:rsidRDefault="007E59E1" w:rsidP="00592014">
      <w:pPr>
        <w:rPr>
          <w:lang w:eastAsia="de-DE"/>
        </w:rPr>
      </w:pPr>
      <w:r w:rsidRPr="001D3FF4">
        <w:rPr>
          <w:lang w:eastAsia="de-DE"/>
        </w:rPr>
        <w:t xml:space="preserve">5. "managing body of the port" means any public or private body which, whether or not in conjunction with other activities, has as its objective under national law or instruments, or is empowered by such law or instruments, to carry out, at a local level, the administration and management of the port infrastructure </w:t>
      </w:r>
      <w:r w:rsidRPr="001D3FF4">
        <w:rPr>
          <w:bCs/>
          <w:lang w:eastAsia="de-DE"/>
        </w:rPr>
        <w:t>and</w:t>
      </w:r>
      <w:r w:rsidRPr="001D3FF4">
        <w:rPr>
          <w:bCs/>
          <w:i/>
          <w:iCs/>
          <w:lang w:eastAsia="de-DE"/>
        </w:rPr>
        <w:t xml:space="preserve"> </w:t>
      </w:r>
      <w:r w:rsidRPr="001D3FF4">
        <w:rPr>
          <w:bCs/>
          <w:iCs/>
          <w:lang w:eastAsia="de-DE"/>
        </w:rPr>
        <w:t xml:space="preserve">one or more of the following tasks in the port concerned: </w:t>
      </w:r>
      <w:r w:rsidRPr="001D3FF4">
        <w:rPr>
          <w:bCs/>
          <w:lang w:eastAsia="de-DE"/>
        </w:rPr>
        <w:t>the coordination of port traffic, the management of port traffic,</w:t>
      </w:r>
      <w:r w:rsidRPr="001D3FF4">
        <w:rPr>
          <w:bCs/>
          <w:iCs/>
          <w:lang w:eastAsia="de-DE"/>
        </w:rPr>
        <w:t xml:space="preserve"> </w:t>
      </w:r>
      <w:r w:rsidRPr="001D3FF4">
        <w:rPr>
          <w:bCs/>
          <w:lang w:eastAsia="de-DE"/>
        </w:rPr>
        <w:t>the coordination of the activities of the operators present in the port concerned,</w:t>
      </w:r>
      <w:r w:rsidRPr="001D3FF4">
        <w:rPr>
          <w:bCs/>
          <w:iCs/>
          <w:lang w:eastAsia="de-DE"/>
        </w:rPr>
        <w:t xml:space="preserve"> and/or </w:t>
      </w:r>
      <w:r w:rsidRPr="001D3FF4">
        <w:rPr>
          <w:bCs/>
          <w:lang w:eastAsia="de-DE"/>
        </w:rPr>
        <w:t>the control of the activities of the operators present in the port concerned</w:t>
      </w:r>
      <w:r w:rsidRPr="001D3FF4">
        <w:rPr>
          <w:lang w:eastAsia="de-DE"/>
        </w:rPr>
        <w:t>;</w:t>
      </w:r>
    </w:p>
    <w:p w:rsidR="007E59E1" w:rsidRPr="001D3FF4" w:rsidRDefault="007E59E1" w:rsidP="00B12165">
      <w:pPr>
        <w:rPr>
          <w:lang w:eastAsia="de-DE"/>
        </w:rPr>
      </w:pPr>
      <w:r w:rsidRPr="001D3FF4">
        <w:rPr>
          <w:lang w:eastAsia="de-DE"/>
        </w:rPr>
        <w:t xml:space="preserve">6. "mooring" means the berthing and un-berthing services, </w:t>
      </w:r>
      <w:r w:rsidRPr="001D3FF4">
        <w:rPr>
          <w:bCs/>
          <w:lang w:eastAsia="de-DE"/>
        </w:rPr>
        <w:t>including shifting along the quayside,</w:t>
      </w:r>
      <w:r w:rsidRPr="001D3FF4">
        <w:rPr>
          <w:lang w:eastAsia="de-DE"/>
        </w:rPr>
        <w:t xml:space="preserve"> required for </w:t>
      </w:r>
      <w:r w:rsidR="00B12165" w:rsidRPr="00AD2A6C">
        <w:rPr>
          <w:b/>
          <w:bCs/>
          <w:u w:val="single"/>
          <w:lang w:eastAsia="de-DE"/>
        </w:rPr>
        <w:t>the</w:t>
      </w:r>
      <w:r w:rsidR="00B12165" w:rsidRPr="00AD2A6C">
        <w:rPr>
          <w:u w:val="single"/>
          <w:lang w:eastAsia="de-DE"/>
        </w:rPr>
        <w:t xml:space="preserve"> </w:t>
      </w:r>
      <w:r w:rsidR="00B12165" w:rsidRPr="00AD2A6C">
        <w:rPr>
          <w:b/>
          <w:bCs/>
          <w:u w:val="single"/>
          <w:lang w:eastAsia="de-DE"/>
        </w:rPr>
        <w:t>safe operation of</w:t>
      </w:r>
      <w:r w:rsidR="00B12165" w:rsidRPr="001D3FF4">
        <w:rPr>
          <w:b/>
          <w:bCs/>
          <w:lang w:eastAsia="de-DE"/>
        </w:rPr>
        <w:t xml:space="preserve"> </w:t>
      </w:r>
      <w:r w:rsidRPr="001D3FF4">
        <w:rPr>
          <w:lang w:eastAsia="de-DE"/>
        </w:rPr>
        <w:t xml:space="preserve">a waterborne vessel </w:t>
      </w:r>
      <w:r w:rsidRPr="001D3FF4">
        <w:rPr>
          <w:bCs/>
          <w:iCs/>
          <w:strike/>
          <w:lang w:eastAsia="de-DE"/>
        </w:rPr>
        <w:t>operated</w:t>
      </w:r>
      <w:r w:rsidRPr="001D3FF4">
        <w:rPr>
          <w:bCs/>
          <w:iCs/>
          <w:lang w:eastAsia="de-DE"/>
        </w:rPr>
        <w:t xml:space="preserve"> in</w:t>
      </w:r>
      <w:r w:rsidRPr="001D3FF4">
        <w:rPr>
          <w:lang w:eastAsia="de-DE"/>
        </w:rPr>
        <w:t xml:space="preserve"> the port or in the </w:t>
      </w:r>
      <w:r w:rsidRPr="001D3FF4">
        <w:rPr>
          <w:iCs/>
          <w:lang w:eastAsia="de-DE"/>
        </w:rPr>
        <w:t xml:space="preserve">waterway </w:t>
      </w:r>
      <w:r w:rsidRPr="001D3FF4">
        <w:rPr>
          <w:lang w:eastAsia="de-DE"/>
        </w:rPr>
        <w:t>access to the port;</w:t>
      </w:r>
    </w:p>
    <w:p w:rsidR="007E59E1" w:rsidRPr="001D3FF4" w:rsidRDefault="007E59E1" w:rsidP="00592014">
      <w:pPr>
        <w:rPr>
          <w:lang w:eastAsia="de-DE"/>
        </w:rPr>
      </w:pPr>
      <w:r w:rsidRPr="001D3FF4">
        <w:rPr>
          <w:lang w:eastAsia="de-DE"/>
        </w:rPr>
        <w:t>7. "passenger services" means the organisation and handling of passengers</w:t>
      </w:r>
      <w:r w:rsidRPr="001D3FF4">
        <w:rPr>
          <w:bCs/>
          <w:iCs/>
          <w:lang w:eastAsia="de-DE"/>
        </w:rPr>
        <w:t>, their luggage and their private vehicles</w:t>
      </w:r>
      <w:r w:rsidRPr="001D3FF4">
        <w:rPr>
          <w:lang w:eastAsia="de-DE"/>
        </w:rPr>
        <w:t xml:space="preserve"> between the carrying waterborne vessel and the shore and also includes the processing of personal data and transporting the passengers inside the relevant passenger terminal;</w:t>
      </w:r>
    </w:p>
    <w:p w:rsidR="007E59E1" w:rsidRPr="001D3FF4" w:rsidRDefault="007E59E1" w:rsidP="00592014">
      <w:pPr>
        <w:rPr>
          <w:lang w:eastAsia="de-DE"/>
        </w:rPr>
      </w:pPr>
      <w:r w:rsidRPr="001D3FF4">
        <w:rPr>
          <w:lang w:eastAsia="de-DE"/>
        </w:rPr>
        <w:t xml:space="preserve">8. "pilotage" means the guidance service of a waterborne vessel by a pilot or a pilotage station in order to allow for a safe entry or exit of the </w:t>
      </w:r>
      <w:r w:rsidRPr="001D3FF4">
        <w:rPr>
          <w:iCs/>
          <w:lang w:eastAsia="de-DE"/>
        </w:rPr>
        <w:t>waterborne</w:t>
      </w:r>
      <w:r w:rsidRPr="001D3FF4">
        <w:rPr>
          <w:lang w:eastAsia="de-DE"/>
        </w:rPr>
        <w:t xml:space="preserve"> vessel in the </w:t>
      </w:r>
      <w:r w:rsidRPr="001D3FF4">
        <w:rPr>
          <w:iCs/>
          <w:lang w:eastAsia="de-DE"/>
        </w:rPr>
        <w:t>waterway</w:t>
      </w:r>
      <w:r w:rsidRPr="001D3FF4">
        <w:rPr>
          <w:lang w:eastAsia="de-DE"/>
        </w:rPr>
        <w:t xml:space="preserve"> access to the port </w:t>
      </w:r>
      <w:r w:rsidRPr="001D3FF4">
        <w:rPr>
          <w:bCs/>
          <w:iCs/>
          <w:lang w:eastAsia="de-DE"/>
        </w:rPr>
        <w:t>or safe navigation within the port</w:t>
      </w:r>
      <w:r w:rsidRPr="001D3FF4">
        <w:rPr>
          <w:lang w:eastAsia="de-DE"/>
        </w:rPr>
        <w:t>;</w:t>
      </w:r>
    </w:p>
    <w:p w:rsidR="007E59E1" w:rsidRPr="001D3FF4" w:rsidRDefault="00554C82" w:rsidP="00592014">
      <w:pPr>
        <w:rPr>
          <w:lang w:eastAsia="de-DE"/>
        </w:rPr>
      </w:pPr>
      <w:r>
        <w:rPr>
          <w:lang w:eastAsia="de-DE"/>
        </w:rPr>
        <w:br w:type="page"/>
      </w:r>
      <w:r w:rsidR="007E59E1" w:rsidRPr="001D3FF4">
        <w:rPr>
          <w:lang w:eastAsia="de-DE"/>
        </w:rPr>
        <w:lastRenderedPageBreak/>
        <w:t xml:space="preserve">9. "port infrastructure charge" means a </w:t>
      </w:r>
      <w:r w:rsidR="007E59E1" w:rsidRPr="001D3FF4">
        <w:rPr>
          <w:bCs/>
          <w:iCs/>
          <w:lang w:eastAsia="de-DE"/>
        </w:rPr>
        <w:t>charge levied</w:t>
      </w:r>
      <w:r w:rsidR="007E59E1" w:rsidRPr="001D3FF4">
        <w:rPr>
          <w:lang w:eastAsia="de-DE"/>
        </w:rPr>
        <w:t xml:space="preserve"> for the direct or indirect benefit of the managing body of the port, </w:t>
      </w:r>
      <w:r w:rsidR="007E59E1" w:rsidRPr="001D3FF4">
        <w:rPr>
          <w:bCs/>
          <w:iCs/>
          <w:lang w:eastAsia="de-DE"/>
        </w:rPr>
        <w:t>or the competent authority,</w:t>
      </w:r>
      <w:r w:rsidR="007E59E1" w:rsidRPr="001D3FF4">
        <w:rPr>
          <w:bCs/>
          <w:lang w:eastAsia="de-DE"/>
        </w:rPr>
        <w:t xml:space="preserve"> </w:t>
      </w:r>
      <w:r w:rsidR="007E59E1" w:rsidRPr="001D3FF4">
        <w:rPr>
          <w:lang w:eastAsia="de-DE"/>
        </w:rPr>
        <w:t>for the use of infrastructure,</w:t>
      </w:r>
      <w:r w:rsidR="007E59E1" w:rsidRPr="001D3FF4">
        <w:rPr>
          <w:iCs/>
          <w:lang w:eastAsia="de-DE"/>
        </w:rPr>
        <w:t xml:space="preserve"> </w:t>
      </w:r>
      <w:r w:rsidR="007E59E1" w:rsidRPr="001D3FF4">
        <w:rPr>
          <w:lang w:eastAsia="de-DE"/>
        </w:rPr>
        <w:t xml:space="preserve">facilities and services, including the waterways giving access to those ports, as well as access to the processing of passengers and cargo, </w:t>
      </w:r>
      <w:r w:rsidR="007E59E1" w:rsidRPr="001D3FF4">
        <w:rPr>
          <w:bCs/>
          <w:iCs/>
          <w:lang w:eastAsia="de-DE"/>
        </w:rPr>
        <w:t>but excluding land lease rates and charges having equivalent effect</w:t>
      </w:r>
      <w:r w:rsidR="007E59E1" w:rsidRPr="001D3FF4">
        <w:rPr>
          <w:lang w:eastAsia="de-DE"/>
        </w:rPr>
        <w:t>;</w:t>
      </w:r>
      <w:r w:rsidR="007E59E1" w:rsidRPr="001D3FF4">
        <w:rPr>
          <w:rStyle w:val="Fotnotereferanse"/>
          <w:lang w:eastAsia="de-DE"/>
        </w:rPr>
        <w:footnoteReference w:id="9"/>
      </w:r>
    </w:p>
    <w:p w:rsidR="007E59E1" w:rsidRPr="001D3FF4" w:rsidRDefault="007E59E1" w:rsidP="00592014">
      <w:pPr>
        <w:rPr>
          <w:lang w:eastAsia="de-DE"/>
        </w:rPr>
      </w:pPr>
      <w:r w:rsidRPr="001D3FF4">
        <w:rPr>
          <w:lang w:eastAsia="de-DE"/>
        </w:rPr>
        <w:t xml:space="preserve">10. </w:t>
      </w:r>
      <w:r w:rsidRPr="001D3FF4">
        <w:rPr>
          <w:bCs/>
          <w:iCs/>
          <w:lang w:eastAsia="de-DE"/>
        </w:rPr>
        <w:t>"collection of ship-generated waste and cargo residues"</w:t>
      </w:r>
      <w:r w:rsidRPr="001D3FF4">
        <w:rPr>
          <w:lang w:eastAsia="de-DE"/>
        </w:rPr>
        <w:t xml:space="preserve"> means </w:t>
      </w:r>
      <w:r w:rsidRPr="001D3FF4">
        <w:rPr>
          <w:bCs/>
          <w:iCs/>
          <w:lang w:eastAsia="de-DE"/>
        </w:rPr>
        <w:t>the receipt into</w:t>
      </w:r>
      <w:r w:rsidRPr="001D3FF4">
        <w:rPr>
          <w:bCs/>
          <w:lang w:eastAsia="de-DE"/>
        </w:rPr>
        <w:t xml:space="preserve"> </w:t>
      </w:r>
      <w:r w:rsidRPr="001D3FF4">
        <w:rPr>
          <w:lang w:eastAsia="de-DE"/>
        </w:rPr>
        <w:t>any facility, which is fixed, floating or mobile and capable of receiving ship-generated waste or cargo residues as defined in Directive 2000/59/EC of the European Parliament and of the Council</w:t>
      </w:r>
      <w:r w:rsidRPr="001D3FF4">
        <w:rPr>
          <w:rStyle w:val="Fotnotereferanse"/>
          <w:lang w:eastAsia="de-DE"/>
        </w:rPr>
        <w:footnoteReference w:id="10"/>
      </w:r>
      <w:r w:rsidRPr="001D3FF4">
        <w:rPr>
          <w:lang w:eastAsia="de-DE"/>
        </w:rPr>
        <w:t>;</w:t>
      </w:r>
    </w:p>
    <w:p w:rsidR="007E59E1" w:rsidRPr="001D3FF4" w:rsidRDefault="007E59E1" w:rsidP="00592014">
      <w:pPr>
        <w:rPr>
          <w:lang w:eastAsia="de-DE"/>
        </w:rPr>
      </w:pPr>
      <w:r w:rsidRPr="001D3FF4">
        <w:rPr>
          <w:lang w:eastAsia="de-DE"/>
        </w:rPr>
        <w:t xml:space="preserve">11. "port service charge" means a </w:t>
      </w:r>
      <w:r w:rsidRPr="001D3FF4">
        <w:rPr>
          <w:bCs/>
          <w:iCs/>
          <w:lang w:eastAsia="de-DE"/>
        </w:rPr>
        <w:t>charge levied</w:t>
      </w:r>
      <w:r w:rsidRPr="001D3FF4">
        <w:rPr>
          <w:lang w:eastAsia="de-DE"/>
        </w:rPr>
        <w:t xml:space="preserve"> for the benefit of the provider of port services and paid by the users of the relevant service;</w:t>
      </w:r>
    </w:p>
    <w:p w:rsidR="007E59E1" w:rsidRPr="001D3FF4" w:rsidRDefault="007E59E1" w:rsidP="00592014">
      <w:pPr>
        <w:rPr>
          <w:bCs/>
          <w:iCs/>
          <w:lang w:eastAsia="de-DE"/>
        </w:rPr>
      </w:pPr>
      <w:r w:rsidRPr="001D3FF4">
        <w:rPr>
          <w:lang w:eastAsia="de-DE"/>
        </w:rPr>
        <w:t>12. "port service contract" means a formal and legally binding agreement</w:t>
      </w:r>
      <w:r w:rsidRPr="001D3FF4">
        <w:rPr>
          <w:b/>
          <w:bCs/>
          <w:iCs/>
          <w:lang w:eastAsia="de-DE"/>
        </w:rPr>
        <w:t xml:space="preserve"> </w:t>
      </w:r>
      <w:r w:rsidRPr="001D3FF4">
        <w:rPr>
          <w:bCs/>
          <w:iCs/>
          <w:lang w:eastAsia="de-DE"/>
        </w:rPr>
        <w:t>or act of equivalent effect</w:t>
      </w:r>
      <w:r w:rsidRPr="001D3FF4">
        <w:rPr>
          <w:lang w:eastAsia="de-DE"/>
        </w:rPr>
        <w:t xml:space="preserve"> between a provider of port </w:t>
      </w:r>
      <w:r w:rsidRPr="001D3FF4">
        <w:rPr>
          <w:iCs/>
          <w:lang w:eastAsia="de-DE"/>
        </w:rPr>
        <w:t>services</w:t>
      </w:r>
      <w:r w:rsidRPr="001D3FF4">
        <w:rPr>
          <w:lang w:eastAsia="de-DE"/>
        </w:rPr>
        <w:t xml:space="preserve"> and </w:t>
      </w:r>
      <w:r w:rsidRPr="001D3FF4">
        <w:rPr>
          <w:bCs/>
          <w:iCs/>
          <w:lang w:eastAsia="de-DE"/>
        </w:rPr>
        <w:t>a managing body of the port, or</w:t>
      </w:r>
      <w:r w:rsidRPr="001D3FF4">
        <w:rPr>
          <w:lang w:eastAsia="de-DE"/>
        </w:rPr>
        <w:t xml:space="preserve"> a competent authority, </w:t>
      </w:r>
      <w:r w:rsidRPr="001D3FF4">
        <w:rPr>
          <w:bCs/>
          <w:iCs/>
          <w:lang w:eastAsia="de-DE"/>
        </w:rPr>
        <w:t>having as its subject-matter the provision of one or more port services as defined in Article 1(2), without prejudice to the form of designating providers of port services;</w:t>
      </w:r>
    </w:p>
    <w:p w:rsidR="007E59E1" w:rsidRPr="001D3FF4" w:rsidRDefault="007E59E1" w:rsidP="00592014">
      <w:pPr>
        <w:rPr>
          <w:lang w:eastAsia="de-DE"/>
        </w:rPr>
      </w:pPr>
      <w:r w:rsidRPr="001D3FF4">
        <w:rPr>
          <w:lang w:eastAsia="de-DE"/>
        </w:rPr>
        <w:t>13. "provider of port services" means any natural or legal person providing, or wishing to provide, for remuneration, one or more categories of port services listed in Article 1(2);</w:t>
      </w:r>
    </w:p>
    <w:p w:rsidR="007E59E1" w:rsidRPr="001D3FF4" w:rsidRDefault="007E59E1" w:rsidP="00592014">
      <w:pPr>
        <w:rPr>
          <w:lang w:eastAsia="de-DE"/>
        </w:rPr>
      </w:pPr>
      <w:r w:rsidRPr="001D3FF4">
        <w:rPr>
          <w:lang w:eastAsia="de-DE"/>
        </w:rPr>
        <w:t xml:space="preserve">14. "public service obligation" means a requirement defined or determined in order to ensure the provision of those port services </w:t>
      </w:r>
      <w:r w:rsidRPr="001D3FF4">
        <w:rPr>
          <w:bCs/>
          <w:iCs/>
          <w:lang w:eastAsia="de-DE"/>
        </w:rPr>
        <w:t>or activities</w:t>
      </w:r>
      <w:r w:rsidRPr="001D3FF4">
        <w:rPr>
          <w:lang w:eastAsia="de-DE"/>
        </w:rPr>
        <w:t xml:space="preserve"> of general interest that an operator, if it were considering its own commercial interests, would not assume or would not assume to the same extent or under the same conditions;</w:t>
      </w:r>
    </w:p>
    <w:p w:rsidR="007E59E1" w:rsidRPr="001D3FF4" w:rsidRDefault="00554C82" w:rsidP="00C7511F">
      <w:pPr>
        <w:rPr>
          <w:lang w:eastAsia="de-DE"/>
        </w:rPr>
      </w:pPr>
      <w:r>
        <w:rPr>
          <w:lang w:eastAsia="de-DE"/>
        </w:rPr>
        <w:br w:type="page"/>
      </w:r>
      <w:r w:rsidR="007E59E1" w:rsidRPr="001D3FF4">
        <w:rPr>
          <w:lang w:eastAsia="de-DE"/>
        </w:rPr>
        <w:lastRenderedPageBreak/>
        <w:t xml:space="preserve">15. </w:t>
      </w:r>
      <w:r w:rsidR="00C7511F">
        <w:rPr>
          <w:lang w:eastAsia="de-DE"/>
        </w:rPr>
        <w:t>"</w:t>
      </w:r>
      <w:r w:rsidR="007E59E1" w:rsidRPr="001D3FF4">
        <w:rPr>
          <w:lang w:eastAsia="de-DE"/>
        </w:rPr>
        <w:t>short sea shipping</w:t>
      </w:r>
      <w:r w:rsidR="00C7511F">
        <w:rPr>
          <w:lang w:eastAsia="de-DE"/>
        </w:rPr>
        <w:t>"</w:t>
      </w:r>
      <w:r w:rsidR="007E59E1" w:rsidRPr="001D3FF4">
        <w:rPr>
          <w:lang w:eastAsia="de-DE"/>
        </w:rPr>
        <w:t xml:space="preserve"> means the movement of cargo and passengers by sea between ports situated in geographical Europe or between those ports and ports situated in non-European countries having a coastline on the enclosed seas bordering Europe;</w:t>
      </w:r>
    </w:p>
    <w:p w:rsidR="007E59E1" w:rsidRPr="001D3FF4" w:rsidRDefault="007E59E1" w:rsidP="00592014">
      <w:pPr>
        <w:rPr>
          <w:lang w:eastAsia="de-DE"/>
        </w:rPr>
      </w:pPr>
      <w:r w:rsidRPr="001D3FF4">
        <w:rPr>
          <w:lang w:eastAsia="de-DE"/>
        </w:rPr>
        <w:t>16. "</w:t>
      </w:r>
      <w:r w:rsidRPr="001D3FF4">
        <w:rPr>
          <w:iCs/>
          <w:lang w:eastAsia="de-DE"/>
        </w:rPr>
        <w:t xml:space="preserve">maritime </w:t>
      </w:r>
      <w:r w:rsidRPr="001D3FF4">
        <w:rPr>
          <w:lang w:eastAsia="de-DE"/>
        </w:rPr>
        <w:t xml:space="preserve">port" means an area of land and water made up of such </w:t>
      </w:r>
      <w:r w:rsidRPr="001D3FF4">
        <w:rPr>
          <w:iCs/>
          <w:lang w:eastAsia="de-DE"/>
        </w:rPr>
        <w:t>infrastructure and</w:t>
      </w:r>
      <w:r w:rsidRPr="001D3FF4">
        <w:rPr>
          <w:lang w:eastAsia="de-DE"/>
        </w:rPr>
        <w:t xml:space="preserve"> equipment so as to permit, principally, the reception of </w:t>
      </w:r>
      <w:r w:rsidRPr="001D3FF4">
        <w:rPr>
          <w:iCs/>
          <w:lang w:eastAsia="de-DE"/>
        </w:rPr>
        <w:t>waterborne vessels</w:t>
      </w:r>
      <w:r w:rsidRPr="001D3FF4">
        <w:rPr>
          <w:lang w:eastAsia="de-DE"/>
        </w:rPr>
        <w:t xml:space="preserve">, their loading and unloading, the storage of goods, the receipt and delivery of </w:t>
      </w:r>
      <w:r w:rsidRPr="001D3FF4">
        <w:rPr>
          <w:iCs/>
          <w:lang w:eastAsia="de-DE"/>
        </w:rPr>
        <w:t xml:space="preserve">those </w:t>
      </w:r>
      <w:r w:rsidRPr="001D3FF4">
        <w:rPr>
          <w:lang w:eastAsia="de-DE"/>
        </w:rPr>
        <w:t>goods and the embarkation and disembarkation of passengers</w:t>
      </w:r>
      <w:r w:rsidRPr="001D3FF4">
        <w:rPr>
          <w:bCs/>
          <w:iCs/>
          <w:lang w:eastAsia="de-DE"/>
        </w:rPr>
        <w:t>, crew</w:t>
      </w:r>
      <w:r w:rsidRPr="001D3FF4">
        <w:rPr>
          <w:lang w:eastAsia="de-DE"/>
        </w:rPr>
        <w:t xml:space="preserve"> </w:t>
      </w:r>
      <w:r w:rsidRPr="001D3FF4">
        <w:rPr>
          <w:bCs/>
          <w:lang w:eastAsia="de-DE"/>
        </w:rPr>
        <w:t>and</w:t>
      </w:r>
      <w:r w:rsidRPr="001D3FF4">
        <w:rPr>
          <w:bCs/>
          <w:iCs/>
          <w:lang w:eastAsia="de-DE"/>
        </w:rPr>
        <w:t xml:space="preserve"> </w:t>
      </w:r>
      <w:r w:rsidRPr="001D3FF4">
        <w:rPr>
          <w:bCs/>
          <w:lang w:eastAsia="de-DE"/>
        </w:rPr>
        <w:t>other persons</w:t>
      </w:r>
      <w:r w:rsidRPr="001D3FF4">
        <w:rPr>
          <w:lang w:eastAsia="de-DE"/>
        </w:rPr>
        <w:t xml:space="preserve"> and any other infrastructure necessary for transport operators within the port area;</w:t>
      </w:r>
    </w:p>
    <w:p w:rsidR="007E59E1" w:rsidRPr="001D3FF4" w:rsidRDefault="007E59E1" w:rsidP="00592014">
      <w:pPr>
        <w:rPr>
          <w:lang w:eastAsia="de-DE"/>
        </w:rPr>
      </w:pPr>
      <w:r w:rsidRPr="001D3FF4">
        <w:rPr>
          <w:lang w:eastAsia="de-DE"/>
        </w:rPr>
        <w:t xml:space="preserve">17. "towage" means the assistance to a waterborne vessel by means of a tug in order to allow for a safe entry or exit of the port </w:t>
      </w:r>
      <w:r w:rsidRPr="001D3FF4">
        <w:rPr>
          <w:bCs/>
          <w:iCs/>
          <w:lang w:eastAsia="de-DE"/>
        </w:rPr>
        <w:t>or safe navigation within the port</w:t>
      </w:r>
      <w:r w:rsidRPr="001D3FF4">
        <w:rPr>
          <w:bCs/>
          <w:lang w:eastAsia="de-DE"/>
        </w:rPr>
        <w:t xml:space="preserve"> </w:t>
      </w:r>
      <w:r w:rsidRPr="001D3FF4">
        <w:rPr>
          <w:lang w:eastAsia="de-DE"/>
        </w:rPr>
        <w:t>by providing assistance to the manoeuvring of the waterborne vessel;</w:t>
      </w:r>
    </w:p>
    <w:p w:rsidR="007E59E1" w:rsidRPr="001D3FF4" w:rsidRDefault="007E59E1" w:rsidP="00592014">
      <w:pPr>
        <w:rPr>
          <w:lang w:eastAsia="de-DE"/>
        </w:rPr>
      </w:pPr>
      <w:r w:rsidRPr="001D3FF4">
        <w:rPr>
          <w:lang w:eastAsia="de-DE"/>
        </w:rPr>
        <w:t>18. "waterway access to a port" means water access to the port from the open sea, such as port approaches, fairways, rivers, sea canals and fjords</w:t>
      </w:r>
      <w:r w:rsidRPr="001D3FF4">
        <w:rPr>
          <w:bCs/>
          <w:iCs/>
          <w:lang w:eastAsia="de-DE"/>
        </w:rPr>
        <w:t>, if such waterway falls into the legal competence of the managing body of the port</w:t>
      </w:r>
      <w:r w:rsidRPr="001D3FF4">
        <w:rPr>
          <w:lang w:eastAsia="de-DE"/>
        </w:rPr>
        <w:t>.</w:t>
      </w:r>
    </w:p>
    <w:p w:rsidR="00340800" w:rsidRPr="001D3FF4" w:rsidRDefault="00592014" w:rsidP="00592014">
      <w:pPr>
        <w:jc w:val="center"/>
        <w:rPr>
          <w:lang w:eastAsia="de-DE"/>
        </w:rPr>
      </w:pPr>
      <w:r w:rsidRPr="001D3FF4">
        <w:rPr>
          <w:lang w:eastAsia="de-DE"/>
        </w:rPr>
        <w:br w:type="page"/>
      </w:r>
      <w:r w:rsidR="00340800" w:rsidRPr="001D3FF4">
        <w:rPr>
          <w:lang w:eastAsia="de-DE"/>
        </w:rPr>
        <w:lastRenderedPageBreak/>
        <w:t>CHAPTER II – Provision of port services</w:t>
      </w:r>
    </w:p>
    <w:p w:rsidR="00340800" w:rsidRPr="001D3FF4" w:rsidRDefault="00340800" w:rsidP="00592014">
      <w:pPr>
        <w:pStyle w:val="Normal6"/>
        <w:spacing w:after="0" w:line="360" w:lineRule="auto"/>
        <w:jc w:val="center"/>
        <w:rPr>
          <w:iCs/>
          <w:lang w:eastAsia="de-DE"/>
        </w:rPr>
      </w:pPr>
      <w:r w:rsidRPr="001D3FF4">
        <w:rPr>
          <w:iCs/>
          <w:lang w:eastAsia="de-DE"/>
        </w:rPr>
        <w:t>Article 3</w:t>
      </w:r>
    </w:p>
    <w:p w:rsidR="00340800" w:rsidRPr="001D3FF4" w:rsidRDefault="00340800" w:rsidP="00592014">
      <w:pPr>
        <w:jc w:val="center"/>
        <w:rPr>
          <w:iCs/>
          <w:lang w:eastAsia="de-DE"/>
        </w:rPr>
      </w:pPr>
      <w:r w:rsidRPr="001D3FF4">
        <w:rPr>
          <w:iCs/>
          <w:lang w:eastAsia="de-DE"/>
        </w:rPr>
        <w:t>Organisation of port services</w:t>
      </w:r>
      <w:r w:rsidRPr="001D3FF4">
        <w:rPr>
          <w:rStyle w:val="Fotnotereferanse"/>
          <w:iCs/>
          <w:lang w:eastAsia="de-DE"/>
        </w:rPr>
        <w:footnoteReference w:id="11"/>
      </w:r>
    </w:p>
    <w:p w:rsidR="00340800" w:rsidRPr="001D3FF4" w:rsidRDefault="00340800" w:rsidP="00592014">
      <w:pPr>
        <w:rPr>
          <w:lang w:eastAsia="de-DE"/>
        </w:rPr>
      </w:pPr>
      <w:r w:rsidRPr="001D3FF4">
        <w:rPr>
          <w:lang w:eastAsia="de-DE"/>
        </w:rPr>
        <w:t>1. […]</w:t>
      </w:r>
    </w:p>
    <w:p w:rsidR="00340800" w:rsidRPr="001D3FF4" w:rsidRDefault="00340800" w:rsidP="00592014">
      <w:pPr>
        <w:pStyle w:val="Normal6"/>
        <w:spacing w:after="0" w:line="360" w:lineRule="auto"/>
        <w:rPr>
          <w:lang w:eastAsia="de-DE"/>
        </w:rPr>
      </w:pPr>
      <w:r w:rsidRPr="001D3FF4">
        <w:rPr>
          <w:lang w:eastAsia="de-DE"/>
        </w:rPr>
        <w:t>1a. Access to the market for the provision</w:t>
      </w:r>
      <w:r w:rsidRPr="001D3FF4">
        <w:rPr>
          <w:b/>
          <w:bCs/>
          <w:lang w:eastAsia="de-DE"/>
        </w:rPr>
        <w:t xml:space="preserve"> </w:t>
      </w:r>
      <w:r w:rsidRPr="001D3FF4">
        <w:rPr>
          <w:lang w:eastAsia="de-DE"/>
        </w:rPr>
        <w:t>of port services in maritime ports may, in accordance with this Regulation, be subject to:</w:t>
      </w:r>
    </w:p>
    <w:p w:rsidR="00340800" w:rsidRPr="001D3FF4" w:rsidRDefault="00340800" w:rsidP="00592014">
      <w:pPr>
        <w:pStyle w:val="Normal6"/>
        <w:spacing w:after="0" w:line="360" w:lineRule="auto"/>
        <w:rPr>
          <w:lang w:eastAsia="de-DE"/>
        </w:rPr>
      </w:pPr>
    </w:p>
    <w:p w:rsidR="00340800" w:rsidRPr="001D3FF4" w:rsidRDefault="00340800" w:rsidP="00592014">
      <w:pPr>
        <w:pStyle w:val="Normal6"/>
        <w:spacing w:after="0" w:line="360" w:lineRule="auto"/>
        <w:rPr>
          <w:lang w:eastAsia="de-DE"/>
        </w:rPr>
      </w:pPr>
      <w:r w:rsidRPr="001D3FF4">
        <w:rPr>
          <w:lang w:eastAsia="de-DE"/>
        </w:rPr>
        <w:t>(a) minimum requirements for the provision of port services;</w:t>
      </w:r>
    </w:p>
    <w:p w:rsidR="00340800" w:rsidRPr="001D3FF4" w:rsidRDefault="00340800" w:rsidP="00592014">
      <w:pPr>
        <w:pStyle w:val="Normal6"/>
        <w:spacing w:after="0" w:line="360" w:lineRule="auto"/>
        <w:rPr>
          <w:lang w:eastAsia="de-DE"/>
        </w:rPr>
      </w:pPr>
    </w:p>
    <w:p w:rsidR="00340800" w:rsidRPr="001D3FF4" w:rsidRDefault="00340800" w:rsidP="00592014">
      <w:pPr>
        <w:pStyle w:val="Normal6"/>
        <w:spacing w:after="0" w:line="360" w:lineRule="auto"/>
        <w:rPr>
          <w:lang w:eastAsia="de-DE"/>
        </w:rPr>
      </w:pPr>
      <w:r w:rsidRPr="001D3FF4">
        <w:rPr>
          <w:lang w:eastAsia="de-DE"/>
        </w:rPr>
        <w:t>(b) limitations of the number of providers;</w:t>
      </w:r>
    </w:p>
    <w:p w:rsidR="00340800" w:rsidRPr="001D3FF4" w:rsidRDefault="00340800" w:rsidP="00592014">
      <w:pPr>
        <w:pStyle w:val="Normal6"/>
        <w:spacing w:after="0" w:line="360" w:lineRule="auto"/>
        <w:rPr>
          <w:lang w:eastAsia="de-DE"/>
        </w:rPr>
      </w:pPr>
    </w:p>
    <w:p w:rsidR="00340800" w:rsidRPr="001D3FF4" w:rsidRDefault="00340800" w:rsidP="00592014">
      <w:pPr>
        <w:pStyle w:val="Normal6"/>
        <w:spacing w:after="0" w:line="360" w:lineRule="auto"/>
        <w:rPr>
          <w:lang w:eastAsia="de-DE"/>
        </w:rPr>
      </w:pPr>
      <w:r w:rsidRPr="001D3FF4">
        <w:rPr>
          <w:lang w:eastAsia="de-DE"/>
        </w:rPr>
        <w:t>(c) public service obligations;</w:t>
      </w:r>
    </w:p>
    <w:p w:rsidR="00340800" w:rsidRPr="001D3FF4" w:rsidRDefault="00340800" w:rsidP="00592014">
      <w:pPr>
        <w:pStyle w:val="Normal6"/>
        <w:spacing w:after="0" w:line="360" w:lineRule="auto"/>
        <w:rPr>
          <w:lang w:eastAsia="de-DE"/>
        </w:rPr>
      </w:pPr>
    </w:p>
    <w:p w:rsidR="00340800" w:rsidRPr="001D3FF4" w:rsidRDefault="00340800" w:rsidP="00592014">
      <w:pPr>
        <w:pStyle w:val="Normal6"/>
        <w:spacing w:after="0" w:line="360" w:lineRule="auto"/>
        <w:rPr>
          <w:lang w:eastAsia="de-DE"/>
        </w:rPr>
      </w:pPr>
      <w:r w:rsidRPr="001D3FF4">
        <w:rPr>
          <w:lang w:eastAsia="de-DE"/>
        </w:rPr>
        <w:t>(d) restrictions related to internal operators.</w:t>
      </w:r>
    </w:p>
    <w:p w:rsidR="00340800" w:rsidRPr="001D3FF4" w:rsidRDefault="00340800" w:rsidP="00592014">
      <w:pPr>
        <w:pStyle w:val="Normal6"/>
        <w:spacing w:after="0" w:line="360" w:lineRule="auto"/>
        <w:rPr>
          <w:lang w:eastAsia="de-DE"/>
        </w:rPr>
      </w:pPr>
    </w:p>
    <w:p w:rsidR="00340800" w:rsidRPr="001D3FF4" w:rsidRDefault="00340800" w:rsidP="00B12165">
      <w:pPr>
        <w:pStyle w:val="Normal6"/>
        <w:spacing w:after="0" w:line="360" w:lineRule="auto"/>
        <w:rPr>
          <w:bCs/>
          <w:lang w:eastAsia="de-DE"/>
        </w:rPr>
      </w:pPr>
      <w:r w:rsidRPr="001D3FF4">
        <w:rPr>
          <w:bCs/>
          <w:lang w:eastAsia="de-DE"/>
        </w:rPr>
        <w:t xml:space="preserve">1b. </w:t>
      </w:r>
      <w:r w:rsidRPr="001D3FF4">
        <w:rPr>
          <w:bCs/>
          <w:strike/>
          <w:lang w:eastAsia="de-DE"/>
        </w:rPr>
        <w:t>Without prejudice to Union law,</w:t>
      </w:r>
      <w:r w:rsidRPr="001D3FF4">
        <w:rPr>
          <w:b/>
          <w:lang w:eastAsia="de-DE"/>
        </w:rPr>
        <w:t xml:space="preserve"> </w:t>
      </w:r>
      <w:r w:rsidRPr="001D3FF4">
        <w:rPr>
          <w:bCs/>
          <w:lang w:eastAsia="de-DE"/>
        </w:rPr>
        <w:t xml:space="preserve">Member States may decide in national law not to </w:t>
      </w:r>
      <w:r w:rsidRPr="001D3FF4">
        <w:rPr>
          <w:bCs/>
          <w:strike/>
          <w:lang w:eastAsia="de-DE"/>
        </w:rPr>
        <w:t>apply</w:t>
      </w:r>
      <w:r w:rsidRPr="001D3FF4">
        <w:rPr>
          <w:bCs/>
          <w:lang w:eastAsia="de-DE"/>
        </w:rPr>
        <w:t xml:space="preserve"> </w:t>
      </w:r>
      <w:r w:rsidR="00B12165" w:rsidRPr="001D3FF4">
        <w:rPr>
          <w:b/>
          <w:u w:val="single"/>
          <w:lang w:eastAsia="de-DE"/>
        </w:rPr>
        <w:t>impose</w:t>
      </w:r>
      <w:r w:rsidR="00B12165" w:rsidRPr="001D3FF4">
        <w:rPr>
          <w:b/>
          <w:lang w:eastAsia="de-DE"/>
        </w:rPr>
        <w:t xml:space="preserve"> </w:t>
      </w:r>
      <w:r w:rsidRPr="001D3FF4">
        <w:rPr>
          <w:bCs/>
          <w:lang w:eastAsia="de-DE"/>
        </w:rPr>
        <w:t xml:space="preserve">any </w:t>
      </w:r>
      <w:r w:rsidR="00B12165" w:rsidRPr="001D3FF4">
        <w:rPr>
          <w:b/>
          <w:u w:val="single"/>
          <w:lang w:eastAsia="de-DE"/>
        </w:rPr>
        <w:t>of the</w:t>
      </w:r>
      <w:r w:rsidR="00B12165" w:rsidRPr="001D3FF4">
        <w:rPr>
          <w:b/>
          <w:lang w:eastAsia="de-DE"/>
        </w:rPr>
        <w:t xml:space="preserve"> </w:t>
      </w:r>
      <w:r w:rsidRPr="001D3FF4">
        <w:rPr>
          <w:bCs/>
          <w:strike/>
          <w:lang w:eastAsia="de-DE"/>
        </w:rPr>
        <w:t>limitations</w:t>
      </w:r>
      <w:r w:rsidRPr="001D3FF4">
        <w:rPr>
          <w:bCs/>
          <w:lang w:eastAsia="de-DE"/>
        </w:rPr>
        <w:t xml:space="preserve"> </w:t>
      </w:r>
      <w:r w:rsidR="00B12165" w:rsidRPr="001D3FF4">
        <w:rPr>
          <w:b/>
          <w:u w:val="single"/>
          <w:lang w:eastAsia="de-DE"/>
        </w:rPr>
        <w:t>conditions referred to in paragraph 1a</w:t>
      </w:r>
      <w:r w:rsidR="00B12165" w:rsidRPr="001D3FF4">
        <w:rPr>
          <w:b/>
          <w:lang w:eastAsia="de-DE"/>
        </w:rPr>
        <w:t xml:space="preserve"> </w:t>
      </w:r>
      <w:r w:rsidRPr="001D3FF4">
        <w:rPr>
          <w:bCs/>
          <w:lang w:eastAsia="de-DE"/>
        </w:rPr>
        <w:t>to one or more categories of port services.</w:t>
      </w:r>
    </w:p>
    <w:p w:rsidR="00340800" w:rsidRPr="001D3FF4" w:rsidRDefault="00340800" w:rsidP="00592014">
      <w:pPr>
        <w:pStyle w:val="Normal6"/>
        <w:spacing w:after="0" w:line="360" w:lineRule="auto"/>
        <w:rPr>
          <w:lang w:eastAsia="de-DE"/>
        </w:rPr>
      </w:pPr>
    </w:p>
    <w:p w:rsidR="00340800" w:rsidRPr="001D3FF4" w:rsidRDefault="00340800" w:rsidP="00592014">
      <w:pPr>
        <w:pStyle w:val="Normal6"/>
        <w:spacing w:after="0" w:line="360" w:lineRule="auto"/>
        <w:rPr>
          <w:lang w:eastAsia="de-DE"/>
        </w:rPr>
      </w:pPr>
      <w:r w:rsidRPr="001D3FF4">
        <w:rPr>
          <w:lang w:eastAsia="de-DE"/>
        </w:rPr>
        <w:t xml:space="preserve">2. The terms of access </w:t>
      </w:r>
      <w:r w:rsidRPr="001D3FF4">
        <w:rPr>
          <w:bCs/>
          <w:iCs/>
          <w:lang w:eastAsia="de-DE"/>
        </w:rPr>
        <w:t xml:space="preserve">to facilities, installations and equipment of the port </w:t>
      </w:r>
      <w:r w:rsidRPr="001D3FF4">
        <w:rPr>
          <w:lang w:eastAsia="de-DE"/>
        </w:rPr>
        <w:t>shall be fair, reasonable and non-discriminatory.</w:t>
      </w:r>
    </w:p>
    <w:p w:rsidR="00340800" w:rsidRPr="001D3FF4" w:rsidRDefault="00340800" w:rsidP="00592014">
      <w:pPr>
        <w:pStyle w:val="Normal6"/>
        <w:spacing w:after="0" w:line="360" w:lineRule="auto"/>
        <w:rPr>
          <w:lang w:eastAsia="de-DE"/>
        </w:rPr>
      </w:pPr>
    </w:p>
    <w:p w:rsidR="00340800" w:rsidRPr="001D3FF4" w:rsidRDefault="00554C82" w:rsidP="00592014">
      <w:pPr>
        <w:jc w:val="center"/>
      </w:pPr>
      <w:r>
        <w:br w:type="page"/>
      </w:r>
      <w:r w:rsidR="00340800" w:rsidRPr="001D3FF4">
        <w:lastRenderedPageBreak/>
        <w:t>Article 4</w:t>
      </w:r>
    </w:p>
    <w:p w:rsidR="00340800" w:rsidRPr="001D3FF4" w:rsidRDefault="00340800" w:rsidP="00592014">
      <w:pPr>
        <w:jc w:val="center"/>
      </w:pPr>
      <w:r w:rsidRPr="001D3FF4">
        <w:t>Minimum requirements for the provision of port services</w:t>
      </w:r>
    </w:p>
    <w:p w:rsidR="00340800" w:rsidRPr="001D3FF4" w:rsidRDefault="00340800" w:rsidP="00592014">
      <w:pPr>
        <w:rPr>
          <w:lang w:eastAsia="de-DE"/>
        </w:rPr>
      </w:pPr>
      <w:r w:rsidRPr="001D3FF4">
        <w:rPr>
          <w:lang w:eastAsia="de-DE"/>
        </w:rPr>
        <w:t xml:space="preserve">1. The managing body of the port, </w:t>
      </w:r>
      <w:r w:rsidRPr="001D3FF4">
        <w:rPr>
          <w:bCs/>
          <w:iCs/>
          <w:lang w:eastAsia="de-DE"/>
        </w:rPr>
        <w:t>or the competent authority,</w:t>
      </w:r>
      <w:r w:rsidRPr="001D3FF4">
        <w:rPr>
          <w:lang w:eastAsia="de-DE"/>
        </w:rPr>
        <w:t xml:space="preserve"> may require providers of port services, including subcontractors, to comply with minimum requirements to perform the corresponding port service.</w:t>
      </w:r>
    </w:p>
    <w:p w:rsidR="00340800" w:rsidRPr="001D3FF4" w:rsidRDefault="00340800" w:rsidP="00592014">
      <w:pPr>
        <w:rPr>
          <w:lang w:eastAsia="de-DE"/>
        </w:rPr>
      </w:pPr>
      <w:r w:rsidRPr="001D3FF4">
        <w:rPr>
          <w:lang w:eastAsia="de-DE"/>
        </w:rPr>
        <w:t xml:space="preserve">2. The minimum requirements provided for in paragraph 1 may only relate </w:t>
      </w:r>
      <w:r w:rsidRPr="001D3FF4">
        <w:rPr>
          <w:bCs/>
          <w:iCs/>
          <w:lang w:eastAsia="de-DE"/>
        </w:rPr>
        <w:t>to</w:t>
      </w:r>
      <w:r w:rsidRPr="001D3FF4">
        <w:rPr>
          <w:lang w:eastAsia="de-DE"/>
        </w:rPr>
        <w:t>:</w:t>
      </w:r>
    </w:p>
    <w:p w:rsidR="00340800" w:rsidRPr="001D3FF4" w:rsidRDefault="00340800" w:rsidP="00592014">
      <w:pPr>
        <w:rPr>
          <w:lang w:eastAsia="de-DE"/>
        </w:rPr>
      </w:pPr>
      <w:r w:rsidRPr="001D3FF4">
        <w:rPr>
          <w:lang w:eastAsia="de-DE"/>
        </w:rPr>
        <w:t xml:space="preserve">(a) the professional qualifications of the provider </w:t>
      </w:r>
      <w:r w:rsidRPr="001D3FF4">
        <w:rPr>
          <w:iCs/>
          <w:lang w:eastAsia="de-DE"/>
        </w:rPr>
        <w:t>of port services</w:t>
      </w:r>
      <w:r w:rsidRPr="001D3FF4">
        <w:rPr>
          <w:lang w:eastAsia="de-DE"/>
        </w:rPr>
        <w:t xml:space="preserve">, its personnel or the natural persons who effectively and continuously are managing the activities of the provider </w:t>
      </w:r>
      <w:r w:rsidRPr="001D3FF4">
        <w:rPr>
          <w:iCs/>
          <w:lang w:eastAsia="de-DE"/>
        </w:rPr>
        <w:t>of port services</w:t>
      </w:r>
      <w:r w:rsidRPr="001D3FF4">
        <w:rPr>
          <w:lang w:eastAsia="de-DE"/>
        </w:rPr>
        <w:t>;</w:t>
      </w:r>
    </w:p>
    <w:p w:rsidR="00340800" w:rsidRPr="001D3FF4" w:rsidRDefault="00340800" w:rsidP="00592014">
      <w:pPr>
        <w:rPr>
          <w:bCs/>
          <w:iCs/>
          <w:lang w:eastAsia="de-DE"/>
        </w:rPr>
      </w:pPr>
      <w:r w:rsidRPr="001D3FF4">
        <w:rPr>
          <w:bCs/>
          <w:iCs/>
          <w:lang w:eastAsia="de-DE"/>
        </w:rPr>
        <w:t>(</w:t>
      </w:r>
      <w:proofErr w:type="spellStart"/>
      <w:r w:rsidRPr="001D3FF4">
        <w:rPr>
          <w:bCs/>
          <w:iCs/>
          <w:lang w:eastAsia="de-DE"/>
        </w:rPr>
        <w:t>aa</w:t>
      </w:r>
      <w:proofErr w:type="spellEnd"/>
      <w:r w:rsidRPr="001D3FF4">
        <w:rPr>
          <w:bCs/>
          <w:iCs/>
          <w:lang w:eastAsia="de-DE"/>
        </w:rPr>
        <w:t>) the financial capacity of the provider of port services;</w:t>
      </w:r>
    </w:p>
    <w:p w:rsidR="00340800" w:rsidRPr="001D3FF4" w:rsidRDefault="00340800" w:rsidP="00592014">
      <w:pPr>
        <w:rPr>
          <w:lang w:eastAsia="de-DE"/>
        </w:rPr>
      </w:pPr>
      <w:r w:rsidRPr="001D3FF4">
        <w:rPr>
          <w:lang w:eastAsia="de-DE"/>
        </w:rPr>
        <w:t xml:space="preserve">(b) the equipment needed to provide the relevant port service in normal and safe conditions and the capacity to maintain this equipment at the </w:t>
      </w:r>
      <w:r w:rsidRPr="001D3FF4">
        <w:rPr>
          <w:iCs/>
          <w:lang w:eastAsia="de-DE"/>
        </w:rPr>
        <w:t>required</w:t>
      </w:r>
      <w:r w:rsidRPr="001D3FF4">
        <w:rPr>
          <w:lang w:eastAsia="de-DE"/>
        </w:rPr>
        <w:t xml:space="preserve"> level;</w:t>
      </w:r>
    </w:p>
    <w:p w:rsidR="00340800" w:rsidRPr="001D3FF4" w:rsidRDefault="00340800" w:rsidP="00592014">
      <w:pPr>
        <w:rPr>
          <w:lang w:eastAsia="de-DE"/>
        </w:rPr>
      </w:pPr>
      <w:r w:rsidRPr="001D3FF4">
        <w:rPr>
          <w:lang w:eastAsia="de-DE"/>
        </w:rPr>
        <w:t>(</w:t>
      </w:r>
      <w:proofErr w:type="spellStart"/>
      <w:r w:rsidRPr="001D3FF4">
        <w:rPr>
          <w:lang w:eastAsia="de-DE"/>
        </w:rPr>
        <w:t>ba</w:t>
      </w:r>
      <w:proofErr w:type="spellEnd"/>
      <w:r w:rsidRPr="001D3FF4">
        <w:rPr>
          <w:lang w:eastAsia="de-DE"/>
        </w:rPr>
        <w:t>) the availability of the port service to all users, at all berths and without interruptions day and night, throughout the year;</w:t>
      </w:r>
    </w:p>
    <w:p w:rsidR="00340800" w:rsidRPr="001D3FF4" w:rsidRDefault="004D13C3" w:rsidP="00592014">
      <w:pPr>
        <w:rPr>
          <w:lang w:eastAsia="de-DE"/>
        </w:rPr>
      </w:pPr>
      <w:r w:rsidRPr="001D3FF4">
        <w:rPr>
          <w:lang w:eastAsia="de-DE"/>
        </w:rPr>
        <w:t>(c) the compliance with requirements on the maritime safety or the safety and security of the port or access to it, its installations, equipment, workers and other persons;</w:t>
      </w:r>
    </w:p>
    <w:p w:rsidR="004D13C3" w:rsidRPr="001D3FF4" w:rsidRDefault="004D13C3" w:rsidP="00592014">
      <w:pPr>
        <w:rPr>
          <w:lang w:eastAsia="de-DE"/>
        </w:rPr>
      </w:pPr>
      <w:r w:rsidRPr="001D3FF4">
        <w:rPr>
          <w:lang w:eastAsia="de-DE"/>
        </w:rPr>
        <w:t>(d) the compliance with local, national, Union and international environmental requirements</w:t>
      </w:r>
      <w:r w:rsidRPr="001D3FF4">
        <w:rPr>
          <w:rStyle w:val="Fotnotereferanse"/>
          <w:b w:val="0"/>
          <w:vertAlign w:val="baseline"/>
          <w:lang w:eastAsia="de-DE"/>
        </w:rPr>
        <w:t>;</w:t>
      </w:r>
    </w:p>
    <w:p w:rsidR="004D13C3" w:rsidRPr="001D3FF4" w:rsidRDefault="004D13C3" w:rsidP="00B12165">
      <w:pPr>
        <w:rPr>
          <w:b/>
          <w:lang w:eastAsia="de-DE"/>
        </w:rPr>
      </w:pPr>
      <w:r w:rsidRPr="001D3FF4">
        <w:rPr>
          <w:bCs/>
          <w:lang w:eastAsia="de-DE"/>
        </w:rPr>
        <w:t>(</w:t>
      </w:r>
      <w:proofErr w:type="spellStart"/>
      <w:r w:rsidRPr="001D3FF4">
        <w:rPr>
          <w:bCs/>
          <w:lang w:eastAsia="de-DE"/>
        </w:rPr>
        <w:t>da</w:t>
      </w:r>
      <w:proofErr w:type="spellEnd"/>
      <w:r w:rsidRPr="001D3FF4">
        <w:rPr>
          <w:bCs/>
          <w:lang w:eastAsia="de-DE"/>
        </w:rPr>
        <w:t>) the compliance with obligations in the field of social and labour law that apply in the Member State of the port concerned, including the terms of applicable collective agreements, manning requirements and requirements relating to hours of work and hours of rest of seafarers and applicable rules on labour inspections;</w:t>
      </w:r>
      <w:r w:rsidR="00B12165" w:rsidRPr="001D3FF4">
        <w:rPr>
          <w:rStyle w:val="Fotnotereferanse"/>
          <w:bCs/>
          <w:lang w:eastAsia="de-DE"/>
        </w:rPr>
        <w:footnoteReference w:id="12"/>
      </w:r>
    </w:p>
    <w:p w:rsidR="004D13C3" w:rsidRPr="001D3FF4" w:rsidRDefault="004D13C3" w:rsidP="00592014">
      <w:pPr>
        <w:rPr>
          <w:bCs/>
          <w:iCs/>
          <w:lang w:eastAsia="de-DE"/>
        </w:rPr>
      </w:pPr>
      <w:r w:rsidRPr="001D3FF4">
        <w:rPr>
          <w:bCs/>
          <w:iCs/>
          <w:lang w:eastAsia="de-DE"/>
        </w:rPr>
        <w:lastRenderedPageBreak/>
        <w:t>(db) the good repute of the port service provider, as determined in accordance with any applicable national law on good repute, taking into consideration any compelling grounds to doubt the reliability of the provider of port services;</w:t>
      </w:r>
      <w:r w:rsidRPr="001D3FF4">
        <w:rPr>
          <w:rStyle w:val="Fotnotereferanse"/>
          <w:bCs/>
          <w:iCs/>
          <w:lang w:eastAsia="de-DE"/>
        </w:rPr>
        <w:footnoteReference w:id="13"/>
      </w:r>
    </w:p>
    <w:p w:rsidR="004D13C3" w:rsidRPr="001D3FF4" w:rsidRDefault="004D13C3" w:rsidP="00592014">
      <w:pPr>
        <w:rPr>
          <w:bCs/>
          <w:iCs/>
          <w:lang w:eastAsia="de-DE"/>
        </w:rPr>
      </w:pPr>
      <w:r w:rsidRPr="001D3FF4">
        <w:rPr>
          <w:bCs/>
          <w:iCs/>
          <w:lang w:eastAsia="de-DE"/>
        </w:rPr>
        <w:t>(dc) the availability of the port service to all users;</w:t>
      </w:r>
    </w:p>
    <w:p w:rsidR="004D13C3" w:rsidRPr="001D3FF4" w:rsidRDefault="004D13C3" w:rsidP="00592014">
      <w:pPr>
        <w:rPr>
          <w:bCs/>
          <w:iCs/>
          <w:lang w:eastAsia="de-DE"/>
        </w:rPr>
      </w:pPr>
      <w:r w:rsidRPr="001D3FF4">
        <w:rPr>
          <w:bCs/>
          <w:iCs/>
          <w:lang w:eastAsia="de-DE"/>
        </w:rPr>
        <w:t>(</w:t>
      </w:r>
      <w:proofErr w:type="spellStart"/>
      <w:r w:rsidRPr="001D3FF4">
        <w:rPr>
          <w:bCs/>
          <w:iCs/>
          <w:lang w:eastAsia="de-DE"/>
        </w:rPr>
        <w:t>dd</w:t>
      </w:r>
      <w:proofErr w:type="spellEnd"/>
      <w:r w:rsidRPr="001D3FF4">
        <w:rPr>
          <w:bCs/>
          <w:iCs/>
          <w:lang w:eastAsia="de-DE"/>
        </w:rPr>
        <w:t>) the availability of the service without interruption during the day, the night, the week and the year.</w:t>
      </w:r>
    </w:p>
    <w:p w:rsidR="004D13C3" w:rsidRPr="001D3FF4" w:rsidRDefault="004D13C3" w:rsidP="00EA6097">
      <w:pPr>
        <w:rPr>
          <w:b/>
          <w:bCs/>
          <w:lang w:eastAsia="de-DE"/>
        </w:rPr>
      </w:pPr>
      <w:r w:rsidRPr="001D3FF4">
        <w:rPr>
          <w:lang w:eastAsia="de-DE"/>
        </w:rPr>
        <w:t>2a. Without prejudice to paragraph 3, where a Member State deems it necessary to impose a flag requirement in order to ensure full compliance with the provisions of paragraph 2(</w:t>
      </w:r>
      <w:proofErr w:type="spellStart"/>
      <w:r w:rsidRPr="001D3FF4">
        <w:rPr>
          <w:lang w:eastAsia="de-DE"/>
        </w:rPr>
        <w:t>da</w:t>
      </w:r>
      <w:proofErr w:type="spellEnd"/>
      <w:r w:rsidRPr="001D3FF4">
        <w:rPr>
          <w:lang w:eastAsia="de-DE"/>
        </w:rPr>
        <w:t>) for waterborne vessels predominantly used for towage or mooring operations in ports located on its territory, it shall inform the Commission of its decision prior to the publication of the contract notice or, in the absence of a contract notice, prior to imposing a flag requirement.</w:t>
      </w:r>
      <w:r w:rsidRPr="001D3FF4">
        <w:rPr>
          <w:rStyle w:val="Fotnotereferanse"/>
          <w:lang w:eastAsia="de-DE"/>
        </w:rPr>
        <w:footnoteReference w:id="14"/>
      </w:r>
    </w:p>
    <w:p w:rsidR="004D13C3" w:rsidRPr="001D3FF4" w:rsidRDefault="004D13C3" w:rsidP="00592014">
      <w:pPr>
        <w:rPr>
          <w:bCs/>
          <w:iCs/>
          <w:lang w:eastAsia="de-DE"/>
        </w:rPr>
      </w:pPr>
      <w:r w:rsidRPr="001D3FF4">
        <w:rPr>
          <w:lang w:eastAsia="de-DE"/>
        </w:rPr>
        <w:t>3. The minimum requirements shall</w:t>
      </w:r>
      <w:r w:rsidRPr="001D3FF4">
        <w:rPr>
          <w:bCs/>
          <w:iCs/>
          <w:lang w:eastAsia="de-DE"/>
        </w:rPr>
        <w:t>:</w:t>
      </w:r>
      <w:r w:rsidR="003670B0" w:rsidRPr="001D3FF4">
        <w:rPr>
          <w:rStyle w:val="Fotnotereferanse"/>
          <w:bCs/>
          <w:iCs/>
          <w:lang w:eastAsia="de-DE"/>
        </w:rPr>
        <w:footnoteReference w:id="15"/>
      </w:r>
    </w:p>
    <w:p w:rsidR="004D13C3" w:rsidRPr="001D3FF4" w:rsidRDefault="004D13C3" w:rsidP="00592014">
      <w:pPr>
        <w:rPr>
          <w:bCs/>
          <w:iCs/>
          <w:lang w:eastAsia="de-DE"/>
        </w:rPr>
      </w:pPr>
      <w:r w:rsidRPr="001D3FF4">
        <w:rPr>
          <w:bCs/>
          <w:iCs/>
          <w:lang w:eastAsia="de-DE"/>
        </w:rPr>
        <w:t>(a)</w:t>
      </w:r>
      <w:r w:rsidRPr="001D3FF4">
        <w:rPr>
          <w:lang w:eastAsia="de-DE"/>
        </w:rPr>
        <w:t xml:space="preserve"> be transparent</w:t>
      </w:r>
      <w:r w:rsidRPr="001D3FF4">
        <w:rPr>
          <w:bCs/>
          <w:iCs/>
          <w:lang w:eastAsia="de-DE"/>
        </w:rPr>
        <w:t>, objective,</w:t>
      </w:r>
      <w:r w:rsidRPr="001D3FF4">
        <w:rPr>
          <w:lang w:eastAsia="de-DE"/>
        </w:rPr>
        <w:t xml:space="preserve"> non-discriminatory, </w:t>
      </w:r>
      <w:r w:rsidRPr="001D3FF4">
        <w:rPr>
          <w:bCs/>
          <w:iCs/>
          <w:lang w:eastAsia="de-DE"/>
        </w:rPr>
        <w:t>proportionate,</w:t>
      </w:r>
      <w:r w:rsidRPr="001D3FF4">
        <w:rPr>
          <w:lang w:eastAsia="de-DE"/>
        </w:rPr>
        <w:t xml:space="preserve"> and relevant to the category and nature of </w:t>
      </w:r>
      <w:r w:rsidRPr="001D3FF4">
        <w:rPr>
          <w:iCs/>
          <w:lang w:eastAsia="de-DE"/>
        </w:rPr>
        <w:t>the</w:t>
      </w:r>
      <w:r w:rsidRPr="001D3FF4">
        <w:rPr>
          <w:bCs/>
          <w:lang w:eastAsia="de-DE"/>
        </w:rPr>
        <w:t xml:space="preserve"> </w:t>
      </w:r>
      <w:r w:rsidRPr="001D3FF4">
        <w:rPr>
          <w:lang w:eastAsia="de-DE"/>
        </w:rPr>
        <w:t xml:space="preserve">port </w:t>
      </w:r>
      <w:r w:rsidRPr="001D3FF4">
        <w:rPr>
          <w:iCs/>
          <w:lang w:eastAsia="de-DE"/>
        </w:rPr>
        <w:t>service</w:t>
      </w:r>
      <w:r w:rsidRPr="001D3FF4">
        <w:rPr>
          <w:lang w:eastAsia="de-DE"/>
        </w:rPr>
        <w:t xml:space="preserve"> concerned</w:t>
      </w:r>
      <w:r w:rsidRPr="001D3FF4">
        <w:rPr>
          <w:bCs/>
          <w:iCs/>
          <w:lang w:eastAsia="de-DE"/>
        </w:rPr>
        <w:t>;</w:t>
      </w:r>
    </w:p>
    <w:p w:rsidR="004D13C3" w:rsidRPr="001D3FF4" w:rsidRDefault="004D13C3" w:rsidP="00592014">
      <w:pPr>
        <w:rPr>
          <w:bCs/>
          <w:iCs/>
          <w:lang w:eastAsia="de-DE"/>
        </w:rPr>
      </w:pPr>
      <w:r w:rsidRPr="001D3FF4">
        <w:rPr>
          <w:bCs/>
          <w:iCs/>
          <w:lang w:eastAsia="de-DE"/>
        </w:rPr>
        <w:t>(b) be complied with until the right to provide a port service expires.</w:t>
      </w:r>
    </w:p>
    <w:p w:rsidR="004D13C3" w:rsidRPr="001D3FF4" w:rsidRDefault="003670B0" w:rsidP="00592014">
      <w:pPr>
        <w:rPr>
          <w:lang w:eastAsia="de-DE"/>
        </w:rPr>
      </w:pPr>
      <w:r w:rsidRPr="001D3FF4">
        <w:rPr>
          <w:lang w:eastAsia="de-DE"/>
        </w:rPr>
        <w:t xml:space="preserve">4. Where the minimum requirements include specific knowledge of local conditions, the managing body of the port, </w:t>
      </w:r>
      <w:r w:rsidRPr="001D3FF4">
        <w:rPr>
          <w:bCs/>
          <w:lang w:eastAsia="de-DE"/>
        </w:rPr>
        <w:t>or the competent authority</w:t>
      </w:r>
      <w:r w:rsidRPr="001D3FF4">
        <w:rPr>
          <w:bCs/>
          <w:iCs/>
          <w:lang w:eastAsia="de-DE"/>
        </w:rPr>
        <w:t>,</w:t>
      </w:r>
      <w:r w:rsidRPr="001D3FF4">
        <w:rPr>
          <w:bCs/>
          <w:lang w:eastAsia="de-DE"/>
        </w:rPr>
        <w:t xml:space="preserve"> shall ensure that adequate access to </w:t>
      </w:r>
      <w:r w:rsidRPr="001D3FF4">
        <w:rPr>
          <w:bCs/>
          <w:iCs/>
          <w:lang w:eastAsia="de-DE"/>
        </w:rPr>
        <w:t>information</w:t>
      </w:r>
      <w:r w:rsidRPr="001D3FF4">
        <w:rPr>
          <w:lang w:eastAsia="de-DE"/>
        </w:rPr>
        <w:t xml:space="preserve"> exists, under transparent and non-discriminatory conditions.</w:t>
      </w:r>
    </w:p>
    <w:p w:rsidR="003670B0" w:rsidRPr="001D3FF4" w:rsidRDefault="00554C82" w:rsidP="00592014">
      <w:pPr>
        <w:rPr>
          <w:lang w:eastAsia="de-DE"/>
        </w:rPr>
      </w:pPr>
      <w:r>
        <w:rPr>
          <w:lang w:eastAsia="de-DE"/>
        </w:rPr>
        <w:br w:type="page"/>
      </w:r>
      <w:r w:rsidR="003670B0" w:rsidRPr="001D3FF4">
        <w:rPr>
          <w:lang w:eastAsia="de-DE"/>
        </w:rPr>
        <w:lastRenderedPageBreak/>
        <w:t xml:space="preserve">5. In the cases provided for in paragraph 1, the minimum requirements referred to in paragraph 2 and the procedure for the granting of the right to provide port services under those requirements shall have been published by the managing body of the port </w:t>
      </w:r>
      <w:r w:rsidR="003670B0" w:rsidRPr="001D3FF4">
        <w:rPr>
          <w:bCs/>
          <w:iCs/>
          <w:lang w:eastAsia="de-DE"/>
        </w:rPr>
        <w:t>or by the competent authority within …</w:t>
      </w:r>
      <w:r w:rsidR="003670B0" w:rsidRPr="001D3FF4">
        <w:rPr>
          <w:rStyle w:val="Fotnotereferanse"/>
          <w:bCs/>
          <w:iCs/>
          <w:lang w:eastAsia="de-DE"/>
        </w:rPr>
        <w:footnoteReference w:customMarkFollows="1" w:id="16"/>
        <w:sym w:font="Symbol" w:char="F02A"/>
      </w:r>
      <w:r w:rsidR="003670B0" w:rsidRPr="001D3FF4">
        <w:rPr>
          <w:bCs/>
          <w:iCs/>
          <w:lang w:eastAsia="de-DE"/>
        </w:rPr>
        <w:t xml:space="preserve"> </w:t>
      </w:r>
      <w:r w:rsidR="003670B0" w:rsidRPr="001D3FF4">
        <w:rPr>
          <w:lang w:eastAsia="de-DE"/>
        </w:rPr>
        <w:t>or</w:t>
      </w:r>
      <w:r w:rsidR="003670B0" w:rsidRPr="001D3FF4">
        <w:rPr>
          <w:iCs/>
          <w:lang w:eastAsia="de-DE"/>
        </w:rPr>
        <w:t>, in the case of</w:t>
      </w:r>
      <w:r w:rsidR="003670B0" w:rsidRPr="001D3FF4">
        <w:rPr>
          <w:lang w:eastAsia="de-DE"/>
        </w:rPr>
        <w:t xml:space="preserve"> minimum requirements being applicable after that date</w:t>
      </w:r>
      <w:r w:rsidR="003670B0" w:rsidRPr="001D3FF4">
        <w:rPr>
          <w:iCs/>
          <w:lang w:eastAsia="de-DE"/>
        </w:rPr>
        <w:t>,</w:t>
      </w:r>
      <w:r w:rsidR="003670B0" w:rsidRPr="001D3FF4">
        <w:rPr>
          <w:lang w:eastAsia="de-DE"/>
        </w:rPr>
        <w:t xml:space="preserve"> at least three months before the date on which those requirements would become applicable. Providers of port services shall be informed in advance of any change in the criteria and of the procedure.</w:t>
      </w:r>
    </w:p>
    <w:p w:rsidR="007E59E1" w:rsidRPr="001D3FF4" w:rsidRDefault="009C240C" w:rsidP="00592014">
      <w:pPr>
        <w:rPr>
          <w:bCs/>
          <w:lang w:eastAsia="de-DE"/>
        </w:rPr>
      </w:pPr>
      <w:r>
        <w:t xml:space="preserve">5a. </w:t>
      </w:r>
      <w:r w:rsidR="003670B0" w:rsidRPr="001D3FF4">
        <w:rPr>
          <w:bCs/>
          <w:lang w:eastAsia="de-DE"/>
        </w:rPr>
        <w:t>The application of this Article is without prejudice to the provisions of Article 8.</w:t>
      </w:r>
    </w:p>
    <w:p w:rsidR="003670B0" w:rsidRPr="001D3FF4" w:rsidRDefault="003670B0" w:rsidP="00592014">
      <w:pPr>
        <w:jc w:val="center"/>
      </w:pPr>
      <w:r w:rsidRPr="001D3FF4">
        <w:t>Article 5</w:t>
      </w:r>
    </w:p>
    <w:p w:rsidR="003670B0" w:rsidRPr="001D3FF4" w:rsidRDefault="003670B0" w:rsidP="00592014">
      <w:pPr>
        <w:jc w:val="center"/>
      </w:pPr>
      <w:r w:rsidRPr="001D3FF4">
        <w:t>Procedure to ensure compliance with the minimum requirements</w:t>
      </w:r>
    </w:p>
    <w:p w:rsidR="003670B0" w:rsidRPr="001D3FF4" w:rsidRDefault="003670B0" w:rsidP="00592014">
      <w:pPr>
        <w:rPr>
          <w:lang w:eastAsia="de-DE"/>
        </w:rPr>
      </w:pPr>
      <w:r w:rsidRPr="001D3FF4">
        <w:rPr>
          <w:lang w:eastAsia="de-DE"/>
        </w:rPr>
        <w:t xml:space="preserve">1. The managing body of the port </w:t>
      </w:r>
      <w:r w:rsidRPr="001D3FF4">
        <w:rPr>
          <w:bCs/>
          <w:iCs/>
          <w:lang w:eastAsia="de-DE"/>
        </w:rPr>
        <w:t>or the competent authority</w:t>
      </w:r>
      <w:r w:rsidRPr="001D3FF4">
        <w:rPr>
          <w:lang w:eastAsia="de-DE"/>
        </w:rPr>
        <w:t xml:space="preserve"> shall treat providers of port services</w:t>
      </w:r>
      <w:r w:rsidRPr="001D3FF4">
        <w:rPr>
          <w:bCs/>
          <w:iCs/>
          <w:lang w:eastAsia="de-DE"/>
        </w:rPr>
        <w:t xml:space="preserve"> </w:t>
      </w:r>
      <w:r w:rsidRPr="001D3FF4">
        <w:rPr>
          <w:lang w:eastAsia="de-DE"/>
        </w:rPr>
        <w:t>in a</w:t>
      </w:r>
      <w:r w:rsidRPr="001D3FF4">
        <w:rPr>
          <w:bCs/>
          <w:lang w:eastAsia="de-DE"/>
        </w:rPr>
        <w:t xml:space="preserve"> </w:t>
      </w:r>
      <w:r w:rsidRPr="001D3FF4">
        <w:rPr>
          <w:lang w:eastAsia="de-DE"/>
        </w:rPr>
        <w:t>transparent</w:t>
      </w:r>
      <w:r w:rsidRPr="001D3FF4">
        <w:rPr>
          <w:bCs/>
          <w:iCs/>
          <w:lang w:eastAsia="de-DE"/>
        </w:rPr>
        <w:t>, objective, non-discriminatory and proportionate</w:t>
      </w:r>
      <w:r w:rsidRPr="001D3FF4">
        <w:rPr>
          <w:lang w:eastAsia="de-DE"/>
        </w:rPr>
        <w:t xml:space="preserve"> manner.</w:t>
      </w:r>
    </w:p>
    <w:p w:rsidR="003670B0" w:rsidRPr="001D3FF4" w:rsidRDefault="003670B0" w:rsidP="00592014">
      <w:pPr>
        <w:rPr>
          <w:lang w:eastAsia="de-DE"/>
        </w:rPr>
      </w:pPr>
      <w:r w:rsidRPr="001D3FF4">
        <w:rPr>
          <w:lang w:eastAsia="de-DE"/>
        </w:rPr>
        <w:t xml:space="preserve">2. The managing body of the port </w:t>
      </w:r>
      <w:r w:rsidRPr="001D3FF4">
        <w:rPr>
          <w:bCs/>
          <w:iCs/>
          <w:lang w:eastAsia="de-DE"/>
        </w:rPr>
        <w:t>or the competent authority</w:t>
      </w:r>
      <w:r w:rsidRPr="001D3FF4">
        <w:rPr>
          <w:bCs/>
          <w:lang w:eastAsia="de-DE"/>
        </w:rPr>
        <w:t xml:space="preserve"> </w:t>
      </w:r>
      <w:r w:rsidRPr="001D3FF4">
        <w:rPr>
          <w:lang w:eastAsia="de-DE"/>
        </w:rPr>
        <w:t xml:space="preserve">shall grant or refuse the right to provide port services on the basis of the minimum requirements established in accordance with Article 4 within </w:t>
      </w:r>
      <w:r w:rsidRPr="001D3FF4">
        <w:rPr>
          <w:bCs/>
          <w:iCs/>
          <w:lang w:eastAsia="de-DE"/>
        </w:rPr>
        <w:t>a reasonable time, and in any event not exceeding four months,</w:t>
      </w:r>
      <w:r w:rsidRPr="001D3FF4">
        <w:rPr>
          <w:bCs/>
          <w:lang w:eastAsia="de-DE"/>
        </w:rPr>
        <w:t xml:space="preserve"> </w:t>
      </w:r>
      <w:r w:rsidRPr="001D3FF4">
        <w:rPr>
          <w:lang w:eastAsia="de-DE"/>
        </w:rPr>
        <w:t xml:space="preserve">from receiving a request for the granting of such a right </w:t>
      </w:r>
      <w:r w:rsidRPr="001D3FF4">
        <w:rPr>
          <w:bCs/>
          <w:iCs/>
          <w:lang w:eastAsia="de-DE"/>
        </w:rPr>
        <w:t>and the necessary documents</w:t>
      </w:r>
      <w:r w:rsidRPr="001D3FF4">
        <w:rPr>
          <w:lang w:eastAsia="de-DE"/>
        </w:rPr>
        <w:t>.</w:t>
      </w:r>
    </w:p>
    <w:p w:rsidR="003670B0" w:rsidRPr="001D3FF4" w:rsidRDefault="003670B0" w:rsidP="00592014">
      <w:pPr>
        <w:rPr>
          <w:iCs/>
          <w:lang w:eastAsia="de-DE"/>
        </w:rPr>
      </w:pPr>
      <w:r w:rsidRPr="001D3FF4">
        <w:rPr>
          <w:iCs/>
          <w:lang w:eastAsia="de-DE"/>
        </w:rPr>
        <w:t>2a. Any refusal, by the managing body of the port, or the competent authority, shall be duly justified on the basis of the minimum requirements set out in Article 4(2).</w:t>
      </w:r>
    </w:p>
    <w:p w:rsidR="00592014" w:rsidRPr="001D3FF4" w:rsidRDefault="003670B0" w:rsidP="00592014">
      <w:pPr>
        <w:rPr>
          <w:iCs/>
          <w:lang w:eastAsia="de-DE"/>
        </w:rPr>
      </w:pPr>
      <w:r w:rsidRPr="001D3FF4">
        <w:rPr>
          <w:iCs/>
          <w:lang w:eastAsia="de-DE"/>
        </w:rPr>
        <w:t>3. Any limitation or termination, by the managing body of the port, or the competent authority, of the right to provide a port service shall be duly justified and in accordance with paragraph 1.</w:t>
      </w:r>
    </w:p>
    <w:p w:rsidR="003670B0" w:rsidRPr="001D3FF4" w:rsidRDefault="00554C82" w:rsidP="00592014">
      <w:pPr>
        <w:jc w:val="center"/>
        <w:rPr>
          <w:lang w:eastAsia="de-DE"/>
        </w:rPr>
      </w:pPr>
      <w:r>
        <w:rPr>
          <w:lang w:eastAsia="de-DE"/>
        </w:rPr>
        <w:br w:type="page"/>
      </w:r>
      <w:r w:rsidR="003670B0" w:rsidRPr="001D3FF4">
        <w:rPr>
          <w:lang w:eastAsia="de-DE"/>
        </w:rPr>
        <w:lastRenderedPageBreak/>
        <w:t>Article 6</w:t>
      </w:r>
    </w:p>
    <w:p w:rsidR="003670B0" w:rsidRPr="001D3FF4" w:rsidRDefault="003670B0" w:rsidP="00592014">
      <w:pPr>
        <w:jc w:val="center"/>
        <w:rPr>
          <w:lang w:eastAsia="de-DE"/>
        </w:rPr>
      </w:pPr>
      <w:r w:rsidRPr="001D3FF4">
        <w:rPr>
          <w:lang w:eastAsia="de-DE"/>
        </w:rPr>
        <w:t>Limitations of the number of providers of port services</w:t>
      </w:r>
      <w:r w:rsidRPr="001D3FF4">
        <w:rPr>
          <w:rStyle w:val="Fotnotereferanse"/>
          <w:lang w:eastAsia="de-DE"/>
        </w:rPr>
        <w:footnoteReference w:id="17"/>
      </w:r>
    </w:p>
    <w:p w:rsidR="003670B0" w:rsidRPr="001D3FF4" w:rsidRDefault="003670B0" w:rsidP="00592014">
      <w:pPr>
        <w:rPr>
          <w:lang w:eastAsia="de-DE"/>
        </w:rPr>
      </w:pPr>
      <w:r w:rsidRPr="001D3FF4">
        <w:rPr>
          <w:lang w:eastAsia="de-DE"/>
        </w:rPr>
        <w:t xml:space="preserve">1. </w:t>
      </w:r>
      <w:r w:rsidRPr="001D3FF4">
        <w:rPr>
          <w:bCs/>
          <w:lang w:eastAsia="de-DE"/>
        </w:rPr>
        <w:t>T</w:t>
      </w:r>
      <w:r w:rsidRPr="001D3FF4">
        <w:rPr>
          <w:lang w:eastAsia="de-DE"/>
        </w:rPr>
        <w:t xml:space="preserve">he managing body of the port, </w:t>
      </w:r>
      <w:r w:rsidRPr="001D3FF4">
        <w:rPr>
          <w:bCs/>
          <w:iCs/>
          <w:lang w:eastAsia="de-DE"/>
        </w:rPr>
        <w:t>or the competent authority,</w:t>
      </w:r>
      <w:r w:rsidRPr="001D3FF4">
        <w:rPr>
          <w:bCs/>
          <w:lang w:eastAsia="de-DE"/>
        </w:rPr>
        <w:t xml:space="preserve"> </w:t>
      </w:r>
      <w:r w:rsidRPr="001D3FF4">
        <w:rPr>
          <w:lang w:eastAsia="de-DE"/>
        </w:rPr>
        <w:t xml:space="preserve">may limit the number of providers of port </w:t>
      </w:r>
      <w:r w:rsidRPr="001D3FF4">
        <w:rPr>
          <w:iCs/>
          <w:lang w:eastAsia="de-DE"/>
        </w:rPr>
        <w:t>services</w:t>
      </w:r>
      <w:r w:rsidRPr="001D3FF4">
        <w:rPr>
          <w:lang w:eastAsia="de-DE"/>
        </w:rPr>
        <w:t xml:space="preserve"> for a given port service for one or </w:t>
      </w:r>
      <w:r w:rsidRPr="001D3FF4">
        <w:rPr>
          <w:bCs/>
          <w:lang w:eastAsia="de-DE"/>
        </w:rPr>
        <w:t>more</w:t>
      </w:r>
      <w:r w:rsidRPr="001D3FF4">
        <w:rPr>
          <w:lang w:eastAsia="de-DE"/>
        </w:rPr>
        <w:t xml:space="preserve"> of the following reasons:</w:t>
      </w:r>
    </w:p>
    <w:p w:rsidR="003670B0" w:rsidRPr="001D3FF4" w:rsidRDefault="003670B0" w:rsidP="00592014">
      <w:pPr>
        <w:rPr>
          <w:lang w:eastAsia="de-DE"/>
        </w:rPr>
      </w:pPr>
      <w:r w:rsidRPr="001D3FF4">
        <w:rPr>
          <w:lang w:eastAsia="de-DE"/>
        </w:rPr>
        <w:t xml:space="preserve">(a) the scarcity or reserved use of land </w:t>
      </w:r>
      <w:r w:rsidRPr="001D3FF4">
        <w:rPr>
          <w:bCs/>
          <w:iCs/>
          <w:lang w:eastAsia="de-DE"/>
        </w:rPr>
        <w:t>or waterside space</w:t>
      </w:r>
      <w:r w:rsidRPr="001D3FF4">
        <w:rPr>
          <w:lang w:eastAsia="de-DE"/>
        </w:rPr>
        <w:t xml:space="preserve"> provided that the limitation is in accordance with the </w:t>
      </w:r>
      <w:r w:rsidRPr="001D3FF4">
        <w:rPr>
          <w:bCs/>
          <w:iCs/>
          <w:lang w:eastAsia="de-DE"/>
        </w:rPr>
        <w:t>decisions or plans</w:t>
      </w:r>
      <w:r w:rsidRPr="001D3FF4">
        <w:rPr>
          <w:lang w:eastAsia="de-DE"/>
        </w:rPr>
        <w:t xml:space="preserve"> as agreed by the </w:t>
      </w:r>
      <w:r w:rsidRPr="001D3FF4">
        <w:rPr>
          <w:iCs/>
          <w:lang w:eastAsia="de-DE"/>
        </w:rPr>
        <w:t xml:space="preserve">managing </w:t>
      </w:r>
      <w:r w:rsidRPr="001D3FF4">
        <w:rPr>
          <w:lang w:eastAsia="de-DE"/>
        </w:rPr>
        <w:t>body of the port and where appropriate any other public competent authorities according to the national legislation;</w:t>
      </w:r>
    </w:p>
    <w:p w:rsidR="003670B0" w:rsidRPr="001D3FF4" w:rsidRDefault="003670B0" w:rsidP="00592014">
      <w:pPr>
        <w:rPr>
          <w:iCs/>
          <w:lang w:eastAsia="de-DE"/>
        </w:rPr>
      </w:pPr>
      <w:r w:rsidRPr="001D3FF4">
        <w:rPr>
          <w:lang w:eastAsia="de-DE"/>
        </w:rPr>
        <w:t xml:space="preserve">(b) the absence of limitation obstructs the performance of </w:t>
      </w:r>
      <w:r w:rsidRPr="001D3FF4">
        <w:rPr>
          <w:bCs/>
          <w:iCs/>
          <w:lang w:eastAsia="de-DE"/>
        </w:rPr>
        <w:t>public service</w:t>
      </w:r>
      <w:r w:rsidRPr="001D3FF4">
        <w:rPr>
          <w:lang w:eastAsia="de-DE"/>
        </w:rPr>
        <w:t xml:space="preserve"> obligations </w:t>
      </w:r>
      <w:r w:rsidRPr="001D3FF4">
        <w:rPr>
          <w:bCs/>
          <w:iCs/>
          <w:lang w:eastAsia="de-DE"/>
        </w:rPr>
        <w:t>as provided for in Article 8</w:t>
      </w:r>
      <w:r w:rsidRPr="001D3FF4">
        <w:rPr>
          <w:iCs/>
          <w:lang w:eastAsia="de-DE"/>
        </w:rPr>
        <w:t xml:space="preserve">, </w:t>
      </w:r>
      <w:r w:rsidRPr="001D3FF4">
        <w:rPr>
          <w:bCs/>
          <w:iCs/>
          <w:lang w:eastAsia="de-DE"/>
        </w:rPr>
        <w:t>including when</w:t>
      </w:r>
      <w:r w:rsidRPr="001D3FF4">
        <w:rPr>
          <w:iCs/>
          <w:lang w:eastAsia="de-DE"/>
        </w:rPr>
        <w:t xml:space="preserve"> such absence</w:t>
      </w:r>
      <w:r w:rsidRPr="001D3FF4">
        <w:rPr>
          <w:b/>
          <w:bCs/>
          <w:iCs/>
          <w:lang w:eastAsia="de-DE"/>
        </w:rPr>
        <w:t xml:space="preserve"> </w:t>
      </w:r>
      <w:r w:rsidRPr="001D3FF4">
        <w:rPr>
          <w:iCs/>
          <w:lang w:eastAsia="de-DE"/>
        </w:rPr>
        <w:t xml:space="preserve">leads to excessively high costs related to </w:t>
      </w:r>
      <w:r w:rsidRPr="001D3FF4">
        <w:rPr>
          <w:bCs/>
          <w:iCs/>
          <w:lang w:eastAsia="de-DE"/>
        </w:rPr>
        <w:t>the performance of</w:t>
      </w:r>
      <w:r w:rsidRPr="001D3FF4">
        <w:rPr>
          <w:iCs/>
          <w:lang w:eastAsia="de-DE"/>
        </w:rPr>
        <w:t xml:space="preserve"> such obligations for the managing body of the port, the competent authority, or the port users;</w:t>
      </w:r>
    </w:p>
    <w:p w:rsidR="003670B0" w:rsidRPr="001D3FF4" w:rsidRDefault="003670B0" w:rsidP="00592014">
      <w:pPr>
        <w:rPr>
          <w:bCs/>
          <w:iCs/>
          <w:lang w:eastAsia="de-DE"/>
        </w:rPr>
      </w:pPr>
      <w:r w:rsidRPr="001D3FF4">
        <w:rPr>
          <w:bCs/>
          <w:iCs/>
          <w:lang w:eastAsia="de-DE"/>
        </w:rPr>
        <w:t>(bb) the absence of limitation obstructs the need to ensure safe, secure or environmentally sustainable port operations;</w:t>
      </w:r>
    </w:p>
    <w:p w:rsidR="003670B0" w:rsidRPr="001D3FF4" w:rsidRDefault="003670B0" w:rsidP="008E1074">
      <w:pPr>
        <w:rPr>
          <w:b/>
          <w:iCs/>
          <w:lang w:eastAsia="de-DE"/>
        </w:rPr>
      </w:pPr>
      <w:r w:rsidRPr="001D3FF4">
        <w:rPr>
          <w:bCs/>
          <w:iCs/>
          <w:lang w:eastAsia="de-DE"/>
        </w:rPr>
        <w:t>(</w:t>
      </w:r>
      <w:proofErr w:type="spellStart"/>
      <w:r w:rsidRPr="001D3FF4">
        <w:rPr>
          <w:bCs/>
          <w:iCs/>
          <w:lang w:eastAsia="de-DE"/>
        </w:rPr>
        <w:t>bc</w:t>
      </w:r>
      <w:proofErr w:type="spellEnd"/>
      <w:r w:rsidRPr="001D3FF4">
        <w:rPr>
          <w:bCs/>
          <w:iCs/>
          <w:lang w:eastAsia="de-DE"/>
        </w:rPr>
        <w:t xml:space="preserve">) the characteristics of the port </w:t>
      </w:r>
      <w:r w:rsidR="008E1074" w:rsidRPr="001D3FF4">
        <w:rPr>
          <w:b/>
          <w:iCs/>
          <w:u w:val="single"/>
          <w:lang w:eastAsia="de-DE"/>
        </w:rPr>
        <w:t>infrastructure or the nature of the port</w:t>
      </w:r>
      <w:r w:rsidR="008E1074" w:rsidRPr="001D3FF4">
        <w:rPr>
          <w:b/>
          <w:iCs/>
          <w:lang w:eastAsia="de-DE"/>
        </w:rPr>
        <w:t xml:space="preserve"> </w:t>
      </w:r>
      <w:r w:rsidRPr="001D3FF4">
        <w:rPr>
          <w:bCs/>
          <w:iCs/>
          <w:lang w:eastAsia="de-DE"/>
        </w:rPr>
        <w:t xml:space="preserve">traffic do not </w:t>
      </w:r>
      <w:r w:rsidRPr="001D3FF4">
        <w:rPr>
          <w:bCs/>
          <w:iCs/>
          <w:strike/>
          <w:lang w:eastAsia="de-DE"/>
        </w:rPr>
        <w:t>enable</w:t>
      </w:r>
      <w:r w:rsidRPr="001D3FF4">
        <w:rPr>
          <w:bCs/>
          <w:iCs/>
          <w:lang w:eastAsia="de-DE"/>
        </w:rPr>
        <w:t xml:space="preserve"> </w:t>
      </w:r>
      <w:r w:rsidR="008E1074" w:rsidRPr="001D3FF4">
        <w:rPr>
          <w:b/>
          <w:iCs/>
          <w:u w:val="single"/>
          <w:lang w:eastAsia="de-DE"/>
        </w:rPr>
        <w:t>permit operations of</w:t>
      </w:r>
      <w:r w:rsidR="008E1074" w:rsidRPr="001D3FF4">
        <w:rPr>
          <w:b/>
          <w:iCs/>
          <w:lang w:eastAsia="de-DE"/>
        </w:rPr>
        <w:t xml:space="preserve"> </w:t>
      </w:r>
      <w:r w:rsidRPr="001D3FF4">
        <w:rPr>
          <w:bCs/>
          <w:iCs/>
          <w:lang w:eastAsia="de-DE"/>
        </w:rPr>
        <w:t xml:space="preserve">multiple providers of port services </w:t>
      </w:r>
      <w:r w:rsidR="008E1074" w:rsidRPr="001D3FF4">
        <w:rPr>
          <w:b/>
          <w:iCs/>
          <w:u w:val="single"/>
          <w:lang w:eastAsia="de-DE"/>
        </w:rPr>
        <w:t>in the port</w:t>
      </w:r>
      <w:r w:rsidR="008E1074" w:rsidRPr="001D3FF4">
        <w:rPr>
          <w:b/>
          <w:iCs/>
          <w:lang w:eastAsia="de-DE"/>
        </w:rPr>
        <w:t xml:space="preserve"> </w:t>
      </w:r>
      <w:r w:rsidRPr="001D3FF4">
        <w:rPr>
          <w:bCs/>
          <w:iCs/>
          <w:strike/>
          <w:lang w:eastAsia="de-DE"/>
        </w:rPr>
        <w:t>to operate in economically satisfactory conditions</w:t>
      </w:r>
      <w:r w:rsidRPr="001D3FF4">
        <w:rPr>
          <w:bCs/>
          <w:iCs/>
          <w:lang w:eastAsia="de-DE"/>
        </w:rPr>
        <w:t>;</w:t>
      </w:r>
      <w:r w:rsidRPr="001D3FF4">
        <w:rPr>
          <w:rStyle w:val="Fotnotereferanse"/>
          <w:rFonts w:ascii="Times New Roman Bold" w:hAnsi="Times New Roman Bold"/>
          <w:iCs/>
          <w:lang w:eastAsia="de-DE"/>
        </w:rPr>
        <w:footnoteReference w:id="18"/>
      </w:r>
    </w:p>
    <w:p w:rsidR="003670B0" w:rsidRPr="001D3FF4" w:rsidRDefault="003670B0" w:rsidP="008E1074">
      <w:pPr>
        <w:rPr>
          <w:lang w:eastAsia="de-DE"/>
        </w:rPr>
      </w:pPr>
      <w:r w:rsidRPr="001D3FF4">
        <w:rPr>
          <w:lang w:eastAsia="de-DE"/>
        </w:rPr>
        <w:t>(</w:t>
      </w:r>
      <w:proofErr w:type="spellStart"/>
      <w:r w:rsidRPr="001D3FF4">
        <w:rPr>
          <w:lang w:eastAsia="de-DE"/>
        </w:rPr>
        <w:t>bd</w:t>
      </w:r>
      <w:proofErr w:type="spellEnd"/>
      <w:r w:rsidRPr="001D3FF4">
        <w:rPr>
          <w:lang w:eastAsia="de-DE"/>
        </w:rPr>
        <w:t>) where it has been established pursuant to Article 35 of Directive 2014/25/EU that a port sector or sub-sector, together with its port services, within a Member State carries out an activity directly exposed to competition in accordance with Article 34 of that Directive. In such case, paragraphs 2 and 3 o</w:t>
      </w:r>
      <w:r w:rsidR="008E1074" w:rsidRPr="001D3FF4">
        <w:rPr>
          <w:lang w:eastAsia="de-DE"/>
        </w:rPr>
        <w:t>f this Article shall not apply.</w:t>
      </w:r>
    </w:p>
    <w:p w:rsidR="003670B0" w:rsidRPr="001D3FF4" w:rsidRDefault="003670B0" w:rsidP="00592014">
      <w:pPr>
        <w:rPr>
          <w:lang w:eastAsia="de-DE"/>
        </w:rPr>
      </w:pPr>
      <w:r w:rsidRPr="001D3FF4">
        <w:rPr>
          <w:lang w:eastAsia="de-DE"/>
        </w:rPr>
        <w:t xml:space="preserve">2. The managing body of the port </w:t>
      </w:r>
      <w:r w:rsidRPr="001D3FF4">
        <w:rPr>
          <w:bCs/>
          <w:iCs/>
          <w:lang w:eastAsia="de-DE"/>
        </w:rPr>
        <w:t>or the competent authority</w:t>
      </w:r>
      <w:r w:rsidRPr="001D3FF4">
        <w:rPr>
          <w:lang w:eastAsia="de-DE"/>
        </w:rPr>
        <w:t xml:space="preserve"> shall publish any proposal to apply paragraph 1 at least </w:t>
      </w:r>
      <w:r w:rsidRPr="001D3FF4">
        <w:rPr>
          <w:iCs/>
          <w:lang w:eastAsia="de-DE"/>
        </w:rPr>
        <w:t>three</w:t>
      </w:r>
      <w:r w:rsidRPr="001D3FF4">
        <w:rPr>
          <w:bCs/>
          <w:lang w:eastAsia="de-DE"/>
        </w:rPr>
        <w:t xml:space="preserve"> </w:t>
      </w:r>
      <w:r w:rsidRPr="001D3FF4">
        <w:rPr>
          <w:lang w:eastAsia="de-DE"/>
        </w:rPr>
        <w:t>months in advance together with the grounds justifying it, giving any interested party the opportunity to comment within a reasonable period.</w:t>
      </w:r>
    </w:p>
    <w:p w:rsidR="003670B0" w:rsidRPr="001D3FF4" w:rsidRDefault="003670B0" w:rsidP="00592014">
      <w:pPr>
        <w:rPr>
          <w:lang w:eastAsia="de-DE"/>
        </w:rPr>
      </w:pPr>
      <w:r w:rsidRPr="001D3FF4">
        <w:rPr>
          <w:lang w:eastAsia="de-DE"/>
        </w:rPr>
        <w:t xml:space="preserve">3. The managing body of the port </w:t>
      </w:r>
      <w:r w:rsidRPr="001D3FF4">
        <w:rPr>
          <w:bCs/>
          <w:iCs/>
          <w:lang w:eastAsia="de-DE"/>
        </w:rPr>
        <w:t>or the competent authority</w:t>
      </w:r>
      <w:r w:rsidRPr="001D3FF4">
        <w:rPr>
          <w:lang w:eastAsia="de-DE"/>
        </w:rPr>
        <w:t xml:space="preserve"> shall publish the adopted decision.</w:t>
      </w:r>
    </w:p>
    <w:p w:rsidR="003670B0" w:rsidRPr="001D3FF4" w:rsidRDefault="003670B0" w:rsidP="008E1074">
      <w:pPr>
        <w:rPr>
          <w:b/>
          <w:bCs/>
        </w:rPr>
      </w:pPr>
      <w:r w:rsidRPr="001D3FF4">
        <w:lastRenderedPageBreak/>
        <w:t xml:space="preserve">3a. </w:t>
      </w:r>
      <w:r w:rsidRPr="001D3FF4">
        <w:rPr>
          <w:bCs/>
          <w:iCs/>
        </w:rPr>
        <w:t xml:space="preserve">Any limitation in the number of providers of a port service shall follow a selection procedure </w:t>
      </w:r>
      <w:r w:rsidRPr="001D3FF4">
        <w:rPr>
          <w:iCs/>
        </w:rPr>
        <w:t xml:space="preserve">that is open to all interested parties, non-discriminatory and transparent. The managing body of the port, or the competent authority, shall publish information on the port service to be provided and the selection procedure and shall ensure that all essential information that is necessary for the preparation of their applications is effectively accessible to all interested parties. </w:t>
      </w:r>
      <w:r w:rsidRPr="001D3FF4">
        <w:t>The submission deadline shall be long enough to allow interested parties to make a meaningful assessment and prepare their application, under normal circumstances the minimum limit shall be 30 days.</w:t>
      </w:r>
      <w:r w:rsidR="006977D5" w:rsidRPr="001D3FF4">
        <w:rPr>
          <w:rStyle w:val="Fotnotereferanse"/>
        </w:rPr>
        <w:footnoteReference w:id="19"/>
      </w:r>
      <w:r w:rsidR="006977D5" w:rsidRPr="001D3FF4">
        <w:t xml:space="preserve"> </w:t>
      </w:r>
      <w:r w:rsidR="006977D5" w:rsidRPr="001D3FF4">
        <w:rPr>
          <w:rStyle w:val="Fotnotereferanse"/>
        </w:rPr>
        <w:footnoteReference w:id="20"/>
      </w:r>
    </w:p>
    <w:p w:rsidR="003670B0" w:rsidRPr="001D3FF4" w:rsidRDefault="003670B0" w:rsidP="00592014">
      <w:pPr>
        <w:rPr>
          <w:bCs/>
          <w:iCs/>
        </w:rPr>
      </w:pPr>
      <w:r w:rsidRPr="001D3FF4">
        <w:rPr>
          <w:bCs/>
          <w:iCs/>
        </w:rPr>
        <w:t>3b. Paragraph 3a shall not apply in the cases referred to in paragraphs 1(</w:t>
      </w:r>
      <w:proofErr w:type="spellStart"/>
      <w:r w:rsidRPr="001D3FF4">
        <w:rPr>
          <w:bCs/>
          <w:iCs/>
        </w:rPr>
        <w:t>bd</w:t>
      </w:r>
      <w:proofErr w:type="spellEnd"/>
      <w:r w:rsidRPr="001D3FF4">
        <w:rPr>
          <w:bCs/>
          <w:iCs/>
        </w:rPr>
        <w:t>) and 4a of this Article and in Article 9.</w:t>
      </w:r>
    </w:p>
    <w:p w:rsidR="003670B0" w:rsidRPr="001D3FF4" w:rsidRDefault="006977D5" w:rsidP="00592014">
      <w:pPr>
        <w:rPr>
          <w:bCs/>
          <w:lang w:eastAsia="de-DE"/>
        </w:rPr>
      </w:pPr>
      <w:r w:rsidRPr="001D3FF4">
        <w:rPr>
          <w:bCs/>
          <w:lang w:eastAsia="de-DE"/>
        </w:rPr>
        <w:t>4. When a managing body of a port or a competent authority provides port services itself or through a legally distinct entity which it directly or indirectly controls, the Member State shall take necessary measures to avoid conflicts of interest. In the absence of such measures, the number of providers shall not be less than two, unless any of the reasons listed in paragraph 1 justifies a limitation to a single provider.</w:t>
      </w:r>
    </w:p>
    <w:p w:rsidR="006977D5" w:rsidRPr="001D3FF4" w:rsidRDefault="006977D5" w:rsidP="00592014">
      <w:pPr>
        <w:rPr>
          <w:iCs/>
          <w:lang w:eastAsia="de-DE"/>
        </w:rPr>
      </w:pPr>
      <w:r w:rsidRPr="001D3FF4">
        <w:rPr>
          <w:iCs/>
          <w:lang w:eastAsia="de-DE"/>
        </w:rPr>
        <w:t xml:space="preserve">4a. </w:t>
      </w:r>
      <w:r w:rsidRPr="001D3FF4">
        <w:rPr>
          <w:bCs/>
          <w:iCs/>
          <w:lang w:eastAsia="de-DE"/>
        </w:rPr>
        <w:t>Member</w:t>
      </w:r>
      <w:r w:rsidRPr="001D3FF4">
        <w:rPr>
          <w:iCs/>
          <w:lang w:eastAsia="de-DE"/>
        </w:rPr>
        <w:t xml:space="preserve"> States may decide that their ports of the comprehensive network which do not meet the criteria in point (b) of Article 20(2) of Regulation (EU) No 1315/2013 may limit the number of service providers for a given port service. </w:t>
      </w:r>
      <w:r w:rsidRPr="001D3FF4">
        <w:rPr>
          <w:bCs/>
          <w:iCs/>
          <w:lang w:eastAsia="de-DE"/>
        </w:rPr>
        <w:t>They</w:t>
      </w:r>
      <w:r w:rsidRPr="001D3FF4">
        <w:rPr>
          <w:iCs/>
          <w:lang w:eastAsia="de-DE"/>
        </w:rPr>
        <w:t xml:space="preserve"> shall inform the Commission thereof.</w:t>
      </w:r>
    </w:p>
    <w:p w:rsidR="006977D5" w:rsidRPr="001D3FF4" w:rsidRDefault="00554C82" w:rsidP="00592014">
      <w:pPr>
        <w:jc w:val="center"/>
        <w:rPr>
          <w:bCs/>
          <w:lang w:eastAsia="de-DE"/>
        </w:rPr>
      </w:pPr>
      <w:r>
        <w:rPr>
          <w:bCs/>
          <w:lang w:eastAsia="de-DE"/>
        </w:rPr>
        <w:br w:type="page"/>
      </w:r>
      <w:r w:rsidR="006977D5" w:rsidRPr="001D3FF4">
        <w:rPr>
          <w:bCs/>
          <w:lang w:eastAsia="de-DE"/>
        </w:rPr>
        <w:lastRenderedPageBreak/>
        <w:t>Article 7</w:t>
      </w:r>
    </w:p>
    <w:p w:rsidR="006977D5" w:rsidRPr="001D3FF4" w:rsidRDefault="006977D5" w:rsidP="00592014">
      <w:pPr>
        <w:jc w:val="center"/>
        <w:rPr>
          <w:bCs/>
          <w:lang w:eastAsia="de-DE"/>
        </w:rPr>
      </w:pPr>
      <w:r w:rsidRPr="001D3FF4">
        <w:rPr>
          <w:bCs/>
          <w:lang w:eastAsia="de-DE"/>
        </w:rPr>
        <w:t>[…]</w:t>
      </w:r>
    </w:p>
    <w:p w:rsidR="006977D5" w:rsidRPr="001D3FF4" w:rsidRDefault="006977D5" w:rsidP="00592014">
      <w:pPr>
        <w:rPr>
          <w:bCs/>
          <w:lang w:eastAsia="de-DE"/>
        </w:rPr>
      </w:pPr>
      <w:r w:rsidRPr="001D3FF4">
        <w:rPr>
          <w:bCs/>
          <w:lang w:eastAsia="de-DE"/>
        </w:rPr>
        <w:t>1. […]</w:t>
      </w:r>
    </w:p>
    <w:p w:rsidR="003670B0" w:rsidRPr="001D3FF4" w:rsidRDefault="006977D5" w:rsidP="00592014">
      <w:pPr>
        <w:rPr>
          <w:bCs/>
          <w:lang w:eastAsia="de-DE"/>
        </w:rPr>
      </w:pPr>
      <w:r w:rsidRPr="001D3FF4">
        <w:rPr>
          <w:bCs/>
        </w:rPr>
        <w:t xml:space="preserve">2. </w:t>
      </w:r>
      <w:r w:rsidRPr="001D3FF4">
        <w:rPr>
          <w:bCs/>
          <w:lang w:eastAsia="de-DE"/>
        </w:rPr>
        <w:t>[…]</w:t>
      </w:r>
    </w:p>
    <w:p w:rsidR="006977D5" w:rsidRPr="001D3FF4" w:rsidRDefault="006977D5" w:rsidP="00592014">
      <w:pPr>
        <w:rPr>
          <w:bCs/>
          <w:lang w:eastAsia="de-DE"/>
        </w:rPr>
      </w:pPr>
      <w:r w:rsidRPr="001D3FF4">
        <w:rPr>
          <w:bCs/>
          <w:lang w:eastAsia="de-DE"/>
        </w:rPr>
        <w:t>3. […]</w:t>
      </w:r>
    </w:p>
    <w:p w:rsidR="006977D5" w:rsidRPr="001D3FF4" w:rsidRDefault="006977D5" w:rsidP="00592014">
      <w:pPr>
        <w:rPr>
          <w:bCs/>
          <w:lang w:eastAsia="de-DE"/>
        </w:rPr>
      </w:pPr>
      <w:r w:rsidRPr="001D3FF4">
        <w:rPr>
          <w:bCs/>
        </w:rPr>
        <w:t xml:space="preserve">4. </w:t>
      </w:r>
      <w:r w:rsidRPr="001D3FF4">
        <w:rPr>
          <w:bCs/>
          <w:lang w:eastAsia="de-DE"/>
        </w:rPr>
        <w:t>[…]</w:t>
      </w:r>
    </w:p>
    <w:p w:rsidR="006977D5" w:rsidRPr="001D3FF4" w:rsidRDefault="006977D5" w:rsidP="00592014">
      <w:pPr>
        <w:rPr>
          <w:bCs/>
          <w:lang w:eastAsia="de-DE"/>
        </w:rPr>
      </w:pPr>
      <w:r w:rsidRPr="001D3FF4">
        <w:rPr>
          <w:bCs/>
          <w:lang w:eastAsia="de-DE"/>
        </w:rPr>
        <w:t>5. […]</w:t>
      </w:r>
    </w:p>
    <w:p w:rsidR="006977D5" w:rsidRPr="001D3FF4" w:rsidRDefault="006977D5" w:rsidP="00592014">
      <w:pPr>
        <w:rPr>
          <w:bCs/>
          <w:lang w:eastAsia="de-DE"/>
        </w:rPr>
      </w:pPr>
      <w:r w:rsidRPr="001D3FF4">
        <w:rPr>
          <w:bCs/>
          <w:lang w:eastAsia="de-DE"/>
        </w:rPr>
        <w:t>6. […]</w:t>
      </w:r>
    </w:p>
    <w:p w:rsidR="006977D5" w:rsidRPr="001D3FF4" w:rsidRDefault="006977D5" w:rsidP="00592014">
      <w:pPr>
        <w:rPr>
          <w:bCs/>
          <w:lang w:eastAsia="de-DE"/>
        </w:rPr>
      </w:pPr>
      <w:r w:rsidRPr="001D3FF4">
        <w:rPr>
          <w:bCs/>
          <w:lang w:eastAsia="de-DE"/>
        </w:rPr>
        <w:t>7. […]</w:t>
      </w:r>
    </w:p>
    <w:p w:rsidR="006977D5" w:rsidRPr="001D3FF4" w:rsidRDefault="006977D5" w:rsidP="00592014">
      <w:pPr>
        <w:pStyle w:val="Normal6"/>
        <w:spacing w:after="0" w:line="360" w:lineRule="auto"/>
        <w:jc w:val="center"/>
        <w:rPr>
          <w:iCs/>
          <w:lang w:eastAsia="de-DE"/>
        </w:rPr>
      </w:pPr>
      <w:r w:rsidRPr="001D3FF4">
        <w:rPr>
          <w:iCs/>
          <w:lang w:eastAsia="de-DE"/>
        </w:rPr>
        <w:t>Article 8</w:t>
      </w:r>
    </w:p>
    <w:p w:rsidR="006977D5" w:rsidRPr="001D3FF4" w:rsidRDefault="006977D5" w:rsidP="00592014">
      <w:pPr>
        <w:jc w:val="center"/>
        <w:rPr>
          <w:iCs/>
          <w:lang w:eastAsia="de-DE"/>
        </w:rPr>
      </w:pPr>
      <w:r w:rsidRPr="001D3FF4">
        <w:rPr>
          <w:iCs/>
          <w:lang w:eastAsia="de-DE"/>
        </w:rPr>
        <w:t>Public service obligations</w:t>
      </w:r>
    </w:p>
    <w:p w:rsidR="006977D5" w:rsidRPr="001D3FF4" w:rsidRDefault="006977D5" w:rsidP="00592014">
      <w:pPr>
        <w:rPr>
          <w:lang w:eastAsia="de-DE"/>
        </w:rPr>
      </w:pPr>
      <w:r w:rsidRPr="001D3FF4">
        <w:rPr>
          <w:lang w:eastAsia="de-DE"/>
        </w:rPr>
        <w:t xml:space="preserve">1. Member States may decide to impose public service obligations related to port services on providers </w:t>
      </w:r>
      <w:r w:rsidRPr="001D3FF4">
        <w:rPr>
          <w:bCs/>
          <w:lang w:eastAsia="de-DE"/>
        </w:rPr>
        <w:t xml:space="preserve">and may entrust the right to impose such obligations to the </w:t>
      </w:r>
      <w:r w:rsidRPr="001D3FF4">
        <w:rPr>
          <w:lang w:eastAsia="de-DE"/>
        </w:rPr>
        <w:t>managing body of the port, or a competent authority,</w:t>
      </w:r>
      <w:r w:rsidRPr="001D3FF4">
        <w:rPr>
          <w:bCs/>
          <w:lang w:eastAsia="de-DE"/>
        </w:rPr>
        <w:t xml:space="preserve"> </w:t>
      </w:r>
      <w:r w:rsidRPr="001D3FF4">
        <w:rPr>
          <w:lang w:eastAsia="de-DE"/>
        </w:rPr>
        <w:t xml:space="preserve">in order to ensure </w:t>
      </w:r>
      <w:r w:rsidRPr="001D3FF4">
        <w:rPr>
          <w:bCs/>
          <w:lang w:eastAsia="de-DE"/>
        </w:rPr>
        <w:t>at least one of</w:t>
      </w:r>
      <w:r w:rsidRPr="001D3FF4">
        <w:rPr>
          <w:bCs/>
          <w:iCs/>
          <w:lang w:eastAsia="de-DE"/>
        </w:rPr>
        <w:t xml:space="preserve"> </w:t>
      </w:r>
      <w:r w:rsidRPr="001D3FF4">
        <w:rPr>
          <w:lang w:eastAsia="de-DE"/>
        </w:rPr>
        <w:t>the following:</w:t>
      </w:r>
    </w:p>
    <w:p w:rsidR="006977D5" w:rsidRPr="001D3FF4" w:rsidRDefault="006977D5" w:rsidP="00592014">
      <w:pPr>
        <w:rPr>
          <w:lang w:eastAsia="de-DE"/>
        </w:rPr>
      </w:pPr>
      <w:r w:rsidRPr="001D3FF4">
        <w:rPr>
          <w:lang w:eastAsia="de-DE"/>
        </w:rPr>
        <w:t xml:space="preserve">(a) the availability of the </w:t>
      </w:r>
      <w:r w:rsidRPr="001D3FF4">
        <w:rPr>
          <w:iCs/>
          <w:lang w:eastAsia="de-DE"/>
        </w:rPr>
        <w:t>port</w:t>
      </w:r>
      <w:r w:rsidRPr="001D3FF4">
        <w:rPr>
          <w:lang w:eastAsia="de-DE"/>
        </w:rPr>
        <w:t xml:space="preserve"> service </w:t>
      </w:r>
      <w:r w:rsidRPr="001D3FF4">
        <w:rPr>
          <w:iCs/>
          <w:lang w:eastAsia="de-DE"/>
        </w:rPr>
        <w:t>to all port users, at all berths,</w:t>
      </w:r>
      <w:r w:rsidRPr="001D3FF4">
        <w:rPr>
          <w:lang w:eastAsia="de-DE"/>
        </w:rPr>
        <w:t xml:space="preserve"> without interruption, day and night, throughout the year;</w:t>
      </w:r>
    </w:p>
    <w:p w:rsidR="006977D5" w:rsidRPr="001D3FF4" w:rsidRDefault="006977D5" w:rsidP="00592014">
      <w:pPr>
        <w:rPr>
          <w:lang w:eastAsia="de-DE"/>
        </w:rPr>
      </w:pPr>
      <w:r w:rsidRPr="001D3FF4">
        <w:rPr>
          <w:lang w:eastAsia="de-DE"/>
        </w:rPr>
        <w:t>(b) the availability of the service to all users</w:t>
      </w:r>
      <w:r w:rsidRPr="001D3FF4">
        <w:rPr>
          <w:b/>
          <w:lang w:eastAsia="de-DE"/>
        </w:rPr>
        <w:t xml:space="preserve"> </w:t>
      </w:r>
      <w:r w:rsidRPr="001D3FF4">
        <w:rPr>
          <w:lang w:eastAsia="de-DE"/>
        </w:rPr>
        <w:t>on equal terms;</w:t>
      </w:r>
    </w:p>
    <w:p w:rsidR="006977D5" w:rsidRPr="001D3FF4" w:rsidRDefault="006977D5" w:rsidP="00592014">
      <w:pPr>
        <w:rPr>
          <w:iCs/>
          <w:lang w:eastAsia="de-DE"/>
        </w:rPr>
      </w:pPr>
      <w:r w:rsidRPr="001D3FF4">
        <w:rPr>
          <w:lang w:eastAsia="de-DE"/>
        </w:rPr>
        <w:t xml:space="preserve">(c) the affordability of the service </w:t>
      </w:r>
      <w:r w:rsidRPr="001D3FF4">
        <w:rPr>
          <w:iCs/>
          <w:lang w:eastAsia="de-DE"/>
        </w:rPr>
        <w:t>for certain categories of users;</w:t>
      </w:r>
    </w:p>
    <w:p w:rsidR="006977D5" w:rsidRPr="001D3FF4" w:rsidRDefault="006977D5" w:rsidP="00592014">
      <w:pPr>
        <w:rPr>
          <w:iCs/>
          <w:lang w:eastAsia="de-DE"/>
        </w:rPr>
      </w:pPr>
      <w:r w:rsidRPr="001D3FF4">
        <w:rPr>
          <w:iCs/>
          <w:lang w:eastAsia="de-DE"/>
        </w:rPr>
        <w:t>(ca) the safety, security or environmental sustainability of port operations;</w:t>
      </w:r>
    </w:p>
    <w:p w:rsidR="006977D5" w:rsidRPr="001D3FF4" w:rsidRDefault="006977D5" w:rsidP="00592014">
      <w:pPr>
        <w:rPr>
          <w:lang w:eastAsia="de-DE"/>
        </w:rPr>
      </w:pPr>
      <w:r w:rsidRPr="001D3FF4">
        <w:rPr>
          <w:lang w:eastAsia="de-DE"/>
        </w:rPr>
        <w:t>(</w:t>
      </w:r>
      <w:proofErr w:type="spellStart"/>
      <w:r w:rsidRPr="001D3FF4">
        <w:rPr>
          <w:lang w:eastAsia="de-DE"/>
        </w:rPr>
        <w:t>cb</w:t>
      </w:r>
      <w:proofErr w:type="spellEnd"/>
      <w:r w:rsidRPr="001D3FF4">
        <w:rPr>
          <w:lang w:eastAsia="de-DE"/>
        </w:rPr>
        <w:t>) the provision of adequate transport services to the public and territorial cohesion.</w:t>
      </w:r>
    </w:p>
    <w:p w:rsidR="006977D5" w:rsidRPr="001D3FF4" w:rsidRDefault="006977D5" w:rsidP="00592014">
      <w:pPr>
        <w:rPr>
          <w:lang w:eastAsia="de-DE"/>
        </w:rPr>
      </w:pPr>
      <w:r w:rsidRPr="001D3FF4">
        <w:rPr>
          <w:lang w:eastAsia="de-DE"/>
        </w:rPr>
        <w:t xml:space="preserve">2. The obligations referred to in paragraph 1 shall be clearly defined, transparent, non-discriminatory, verifiable and shall guarantee equality of access to all providers </w:t>
      </w:r>
      <w:r w:rsidRPr="001D3FF4">
        <w:rPr>
          <w:iCs/>
          <w:lang w:eastAsia="de-DE"/>
        </w:rPr>
        <w:t>of port services</w:t>
      </w:r>
      <w:r w:rsidRPr="001D3FF4">
        <w:rPr>
          <w:lang w:eastAsia="de-DE"/>
        </w:rPr>
        <w:t xml:space="preserve"> established in the Union.</w:t>
      </w:r>
    </w:p>
    <w:p w:rsidR="006977D5" w:rsidRPr="001D3FF4" w:rsidRDefault="00554C82" w:rsidP="00592014">
      <w:pPr>
        <w:rPr>
          <w:bCs/>
        </w:rPr>
      </w:pPr>
      <w:r>
        <w:rPr>
          <w:bCs/>
        </w:rPr>
        <w:br w:type="page"/>
      </w:r>
      <w:r w:rsidR="00B3737C" w:rsidRPr="001D3FF4">
        <w:rPr>
          <w:bCs/>
        </w:rPr>
        <w:lastRenderedPageBreak/>
        <w:t>3. […]</w:t>
      </w:r>
    </w:p>
    <w:p w:rsidR="00B3737C" w:rsidRPr="001D3FF4" w:rsidRDefault="00B3737C" w:rsidP="00592014">
      <w:pPr>
        <w:rPr>
          <w:bCs/>
          <w:iCs/>
          <w:lang w:eastAsia="de-DE"/>
        </w:rPr>
      </w:pPr>
      <w:r w:rsidRPr="001D3FF4">
        <w:rPr>
          <w:lang w:eastAsia="de-DE"/>
        </w:rPr>
        <w:t xml:space="preserve">4. </w:t>
      </w:r>
      <w:r w:rsidRPr="001D3FF4">
        <w:rPr>
          <w:bCs/>
          <w:iCs/>
          <w:lang w:eastAsia="de-DE"/>
        </w:rPr>
        <w:t>[…]</w:t>
      </w:r>
    </w:p>
    <w:p w:rsidR="00B3737C" w:rsidRPr="001D3FF4" w:rsidRDefault="00B3737C" w:rsidP="00592014">
      <w:pPr>
        <w:rPr>
          <w:lang w:eastAsia="de-DE"/>
        </w:rPr>
      </w:pPr>
      <w:r w:rsidRPr="001D3FF4">
        <w:rPr>
          <w:lang w:eastAsia="de-DE"/>
        </w:rPr>
        <w:t xml:space="preserve">5. If a </w:t>
      </w:r>
      <w:r w:rsidRPr="001D3FF4">
        <w:rPr>
          <w:bCs/>
          <w:iCs/>
          <w:lang w:eastAsia="de-DE"/>
        </w:rPr>
        <w:t>Member State</w:t>
      </w:r>
      <w:r w:rsidRPr="001D3FF4">
        <w:rPr>
          <w:bCs/>
          <w:lang w:eastAsia="de-DE"/>
        </w:rPr>
        <w:t xml:space="preserve"> </w:t>
      </w:r>
      <w:r w:rsidRPr="001D3FF4">
        <w:rPr>
          <w:lang w:eastAsia="de-DE"/>
        </w:rPr>
        <w:t>decides to impose public service obligations</w:t>
      </w:r>
      <w:r w:rsidRPr="001D3FF4">
        <w:rPr>
          <w:bCs/>
          <w:iCs/>
          <w:lang w:eastAsia="de-DE"/>
        </w:rPr>
        <w:t>, for the same service,</w:t>
      </w:r>
      <w:r w:rsidRPr="001D3FF4">
        <w:rPr>
          <w:bCs/>
          <w:lang w:eastAsia="de-DE"/>
        </w:rPr>
        <w:t xml:space="preserve"> </w:t>
      </w:r>
      <w:r w:rsidRPr="001D3FF4">
        <w:rPr>
          <w:lang w:eastAsia="de-DE"/>
        </w:rPr>
        <w:t xml:space="preserve">in all </w:t>
      </w:r>
      <w:r w:rsidRPr="001D3FF4">
        <w:rPr>
          <w:bCs/>
          <w:iCs/>
          <w:lang w:eastAsia="de-DE"/>
        </w:rPr>
        <w:t xml:space="preserve">its </w:t>
      </w:r>
      <w:r w:rsidRPr="001D3FF4">
        <w:rPr>
          <w:iCs/>
          <w:lang w:eastAsia="de-DE"/>
        </w:rPr>
        <w:t>maritime</w:t>
      </w:r>
      <w:r w:rsidRPr="001D3FF4">
        <w:rPr>
          <w:lang w:eastAsia="de-DE"/>
        </w:rPr>
        <w:t xml:space="preserve"> ports covered by this Regulation, it shall notify </w:t>
      </w:r>
      <w:r w:rsidRPr="001D3FF4">
        <w:rPr>
          <w:iCs/>
          <w:lang w:eastAsia="de-DE"/>
        </w:rPr>
        <w:t>those</w:t>
      </w:r>
      <w:r w:rsidRPr="001D3FF4">
        <w:rPr>
          <w:lang w:eastAsia="de-DE"/>
        </w:rPr>
        <w:t xml:space="preserve"> obligations to the Commission.</w:t>
      </w:r>
    </w:p>
    <w:p w:rsidR="00B3737C" w:rsidRPr="009C240C" w:rsidRDefault="00B3737C" w:rsidP="009C240C">
      <w:pPr>
        <w:pStyle w:val="Normal6"/>
        <w:spacing w:after="0" w:line="360" w:lineRule="auto"/>
        <w:rPr>
          <w:highlight w:val="yellow"/>
          <w:lang w:eastAsia="de-DE"/>
        </w:rPr>
      </w:pPr>
      <w:r w:rsidRPr="001D3FF4">
        <w:rPr>
          <w:lang w:eastAsia="de-DE"/>
        </w:rPr>
        <w:t xml:space="preserve">6. In the event of a disruption of port services for which public service obligations are imposed or when an immediate risk of such a situation occurs, </w:t>
      </w:r>
      <w:r w:rsidRPr="001D3FF4">
        <w:rPr>
          <w:bCs/>
          <w:lang w:eastAsia="de-DE"/>
        </w:rPr>
        <w:t>t</w:t>
      </w:r>
      <w:r w:rsidRPr="001D3FF4">
        <w:rPr>
          <w:bCs/>
          <w:iCs/>
          <w:lang w:eastAsia="de-DE"/>
        </w:rPr>
        <w:t>he managing body of the port, or the competent authority,</w:t>
      </w:r>
      <w:r w:rsidRPr="001D3FF4">
        <w:rPr>
          <w:iCs/>
          <w:lang w:eastAsia="de-DE"/>
        </w:rPr>
        <w:t xml:space="preserve"> </w:t>
      </w:r>
      <w:r w:rsidRPr="001D3FF4">
        <w:rPr>
          <w:lang w:eastAsia="de-DE"/>
        </w:rPr>
        <w:t xml:space="preserve">may take an emergency measure. The emergency measure may take the form of a direct award so as to attribute the service to a different provider for a period up to two years. During that time period, </w:t>
      </w:r>
      <w:r w:rsidRPr="001D3FF4">
        <w:rPr>
          <w:bCs/>
          <w:lang w:eastAsia="de-DE"/>
        </w:rPr>
        <w:t>t</w:t>
      </w:r>
      <w:r w:rsidRPr="001D3FF4">
        <w:rPr>
          <w:bCs/>
          <w:iCs/>
          <w:lang w:eastAsia="de-DE"/>
        </w:rPr>
        <w:t>he managing body of the port, or the competent authority,</w:t>
      </w:r>
      <w:r w:rsidRPr="001D3FF4">
        <w:rPr>
          <w:iCs/>
          <w:lang w:eastAsia="de-DE"/>
        </w:rPr>
        <w:t xml:space="preserve"> </w:t>
      </w:r>
      <w:r w:rsidRPr="001D3FF4">
        <w:rPr>
          <w:lang w:eastAsia="de-DE"/>
        </w:rPr>
        <w:t>shall either launch a new procedure to select a provider of port services or shall apply Article 9.</w:t>
      </w:r>
      <w:r w:rsidR="009C240C">
        <w:rPr>
          <w:lang w:eastAsia="de-DE"/>
        </w:rPr>
        <w:t xml:space="preserve"> </w:t>
      </w:r>
      <w:r w:rsidRPr="001D3FF4">
        <w:rPr>
          <w:bCs/>
          <w:iCs/>
          <w:lang w:eastAsia="de-DE"/>
        </w:rPr>
        <w:t>Collective industrial action taking place in accordance with national law shall not be considered a disruption of port services for which an emergency measure may be taken.</w:t>
      </w:r>
    </w:p>
    <w:p w:rsidR="00B3737C" w:rsidRPr="001D3FF4" w:rsidRDefault="00C90A87" w:rsidP="00592014">
      <w:pPr>
        <w:jc w:val="center"/>
        <w:rPr>
          <w:lang w:eastAsia="de-DE"/>
        </w:rPr>
      </w:pPr>
      <w:r w:rsidRPr="001D3FF4">
        <w:rPr>
          <w:lang w:eastAsia="de-DE"/>
        </w:rPr>
        <w:t>Article 9</w:t>
      </w:r>
      <w:r w:rsidRPr="001D3FF4">
        <w:rPr>
          <w:lang w:eastAsia="de-DE"/>
        </w:rPr>
        <w:br/>
        <w:t>Internal operator</w:t>
      </w:r>
    </w:p>
    <w:p w:rsidR="00C90A87" w:rsidRPr="001D3FF4" w:rsidRDefault="00C90A87" w:rsidP="00592014">
      <w:pPr>
        <w:rPr>
          <w:lang w:eastAsia="de-DE"/>
        </w:rPr>
      </w:pPr>
      <w:r w:rsidRPr="001D3FF4">
        <w:rPr>
          <w:lang w:eastAsia="de-DE"/>
        </w:rPr>
        <w:t xml:space="preserve">1. </w:t>
      </w:r>
      <w:r w:rsidRPr="001D3FF4">
        <w:rPr>
          <w:bCs/>
          <w:iCs/>
          <w:lang w:eastAsia="de-DE"/>
        </w:rPr>
        <w:t xml:space="preserve">Without prejudice to Article 6(4), </w:t>
      </w:r>
      <w:r w:rsidRPr="001D3FF4">
        <w:rPr>
          <w:lang w:eastAsia="de-DE"/>
        </w:rPr>
        <w:t>the managing body of the port, or the competent authority may decide to provide a port service itself, or through a legally distinct entity over which it exercises a control similar to that exercised over its own departments, provided that Article 4 applies equally to all operators providing the service concerned. In such cases, the port service provider shall be considered as an internal operator for the purpose of this Regulation.</w:t>
      </w:r>
    </w:p>
    <w:p w:rsidR="00C90A87" w:rsidRPr="001D3FF4" w:rsidRDefault="00C90A87" w:rsidP="00592014">
      <w:pPr>
        <w:rPr>
          <w:lang w:eastAsia="de-DE"/>
        </w:rPr>
      </w:pPr>
      <w:r w:rsidRPr="001D3FF4">
        <w:rPr>
          <w:lang w:eastAsia="de-DE"/>
        </w:rPr>
        <w:t>2. The managing body of the port or the competent authority shall be considered as exercising a control of a legally distinct entity similar to that exercised to its own departments only if it exercises a decisive influence over both the strategic objectives and the significant decisions of the legal entity concerned.</w:t>
      </w:r>
    </w:p>
    <w:p w:rsidR="00C90A87" w:rsidRPr="001D3FF4" w:rsidRDefault="00C90A87" w:rsidP="00592014">
      <w:pPr>
        <w:rPr>
          <w:bCs/>
          <w:lang w:eastAsia="de-DE"/>
        </w:rPr>
      </w:pPr>
      <w:r w:rsidRPr="001D3FF4">
        <w:rPr>
          <w:bCs/>
          <w:lang w:eastAsia="de-DE"/>
        </w:rPr>
        <w:t>3. In the cases provided for in Article 6(1), with the exception of point (</w:t>
      </w:r>
      <w:proofErr w:type="spellStart"/>
      <w:r w:rsidRPr="001D3FF4">
        <w:rPr>
          <w:bCs/>
          <w:lang w:eastAsia="de-DE"/>
        </w:rPr>
        <w:t>bd</w:t>
      </w:r>
      <w:proofErr w:type="spellEnd"/>
      <w:r w:rsidRPr="001D3FF4">
        <w:rPr>
          <w:bCs/>
          <w:lang w:eastAsia="de-DE"/>
        </w:rPr>
        <w:t>), the internal operator shall be confined to perform the assigned port service only in the port or ports for which the assignment to provide the port service has been attributed to him.</w:t>
      </w:r>
    </w:p>
    <w:p w:rsidR="00C90A87" w:rsidRPr="001D3FF4" w:rsidRDefault="00C90A87" w:rsidP="00592014">
      <w:pPr>
        <w:rPr>
          <w:bCs/>
          <w:iCs/>
          <w:lang w:eastAsia="de-DE"/>
        </w:rPr>
      </w:pPr>
      <w:r w:rsidRPr="001D3FF4">
        <w:rPr>
          <w:lang w:eastAsia="de-DE"/>
        </w:rPr>
        <w:t xml:space="preserve">4. </w:t>
      </w:r>
      <w:r w:rsidRPr="001D3FF4">
        <w:rPr>
          <w:bCs/>
          <w:iCs/>
          <w:lang w:eastAsia="de-DE"/>
        </w:rPr>
        <w:t>[…]</w:t>
      </w:r>
    </w:p>
    <w:p w:rsidR="00C90A87" w:rsidRPr="001D3FF4" w:rsidRDefault="00C90A87" w:rsidP="00592014">
      <w:pPr>
        <w:rPr>
          <w:bCs/>
          <w:iCs/>
          <w:lang w:eastAsia="de-DE"/>
        </w:rPr>
      </w:pPr>
      <w:r w:rsidRPr="001D3FF4">
        <w:rPr>
          <w:lang w:eastAsia="de-DE"/>
        </w:rPr>
        <w:t xml:space="preserve">5. </w:t>
      </w:r>
      <w:r w:rsidRPr="001D3FF4">
        <w:rPr>
          <w:bCs/>
          <w:iCs/>
          <w:lang w:eastAsia="de-DE"/>
        </w:rPr>
        <w:t>[…]</w:t>
      </w:r>
    </w:p>
    <w:p w:rsidR="00C90A87" w:rsidRPr="001D3FF4" w:rsidRDefault="00C90A87" w:rsidP="00592014">
      <w:pPr>
        <w:jc w:val="center"/>
        <w:rPr>
          <w:lang w:eastAsia="de-DE"/>
        </w:rPr>
      </w:pPr>
      <w:r w:rsidRPr="001D3FF4">
        <w:rPr>
          <w:lang w:eastAsia="de-DE"/>
        </w:rPr>
        <w:lastRenderedPageBreak/>
        <w:t>Article 10</w:t>
      </w:r>
      <w:r w:rsidRPr="001D3FF4">
        <w:rPr>
          <w:lang w:eastAsia="de-DE"/>
        </w:rPr>
        <w:br/>
        <w:t>Safeguarding of employees' rights</w:t>
      </w:r>
      <w:r w:rsidRPr="001D3FF4">
        <w:rPr>
          <w:rStyle w:val="Fotnotereferanse"/>
          <w:lang w:eastAsia="de-DE"/>
        </w:rPr>
        <w:footnoteReference w:id="21"/>
      </w:r>
    </w:p>
    <w:p w:rsidR="00C90A87" w:rsidRPr="001D3FF4" w:rsidRDefault="00C90A87" w:rsidP="00592014">
      <w:pPr>
        <w:rPr>
          <w:lang w:eastAsia="de-DE"/>
        </w:rPr>
      </w:pPr>
      <w:r w:rsidRPr="001D3FF4">
        <w:rPr>
          <w:lang w:eastAsia="de-DE"/>
        </w:rPr>
        <w:t>1. This Regulation shall not affect the application of the social and labour rules of the Member States.</w:t>
      </w:r>
    </w:p>
    <w:p w:rsidR="00C90A87" w:rsidRPr="001D3FF4" w:rsidRDefault="00C90A87" w:rsidP="00592014">
      <w:pPr>
        <w:rPr>
          <w:rFonts w:eastAsia="EUAlbertina-Regular-Identity-H"/>
          <w:bCs/>
          <w:lang w:eastAsia="de-DE"/>
        </w:rPr>
      </w:pPr>
      <w:r w:rsidRPr="001D3FF4">
        <w:rPr>
          <w:lang w:eastAsia="de-DE"/>
        </w:rPr>
        <w:t>2.</w:t>
      </w:r>
      <w:r w:rsidRPr="001D3FF4">
        <w:rPr>
          <w:iCs/>
          <w:lang w:eastAsia="de-DE"/>
        </w:rPr>
        <w:t xml:space="preserve"> Without prejudice to national and Union law</w:t>
      </w:r>
      <w:r w:rsidRPr="001D3FF4">
        <w:rPr>
          <w:bCs/>
          <w:lang w:eastAsia="de-DE"/>
        </w:rPr>
        <w:t>,</w:t>
      </w:r>
      <w:r w:rsidRPr="001D3FF4">
        <w:rPr>
          <w:iCs/>
          <w:lang w:eastAsia="de-DE"/>
        </w:rPr>
        <w:t xml:space="preserve"> including </w:t>
      </w:r>
      <w:r w:rsidRPr="001D3FF4">
        <w:rPr>
          <w:bCs/>
          <w:iCs/>
          <w:lang w:eastAsia="de-DE"/>
        </w:rPr>
        <w:t>applicable</w:t>
      </w:r>
      <w:r w:rsidRPr="001D3FF4">
        <w:rPr>
          <w:iCs/>
          <w:lang w:eastAsia="de-DE"/>
        </w:rPr>
        <w:t xml:space="preserve"> collective agreements between social partners</w:t>
      </w:r>
      <w:r w:rsidRPr="001D3FF4">
        <w:rPr>
          <w:lang w:eastAsia="de-DE"/>
        </w:rPr>
        <w:t>,</w:t>
      </w:r>
      <w:r w:rsidRPr="001D3FF4">
        <w:rPr>
          <w:iCs/>
          <w:lang w:eastAsia="de-DE"/>
        </w:rPr>
        <w:t xml:space="preserve"> </w:t>
      </w:r>
      <w:r w:rsidRPr="001D3FF4">
        <w:rPr>
          <w:rFonts w:eastAsia="EUAlbertina-Regular-Identity-H"/>
          <w:lang w:eastAsia="de-DE"/>
        </w:rPr>
        <w:t>the managing body of the port,</w:t>
      </w:r>
      <w:r w:rsidRPr="001D3FF4">
        <w:rPr>
          <w:iCs/>
          <w:lang w:eastAsia="de-DE"/>
        </w:rPr>
        <w:t xml:space="preserve"> or</w:t>
      </w:r>
      <w:r w:rsidRPr="001D3FF4">
        <w:rPr>
          <w:b/>
          <w:bCs/>
          <w:iCs/>
          <w:lang w:eastAsia="de-DE"/>
        </w:rPr>
        <w:t xml:space="preserve"> </w:t>
      </w:r>
      <w:r w:rsidRPr="001D3FF4">
        <w:rPr>
          <w:iCs/>
          <w:lang w:eastAsia="de-DE"/>
        </w:rPr>
        <w:t xml:space="preserve">the competent authority, </w:t>
      </w:r>
      <w:r w:rsidRPr="001D3FF4">
        <w:rPr>
          <w:bCs/>
          <w:iCs/>
          <w:lang w:eastAsia="de-DE"/>
        </w:rPr>
        <w:t>shall</w:t>
      </w:r>
      <w:r w:rsidRPr="001D3FF4">
        <w:rPr>
          <w:iCs/>
          <w:lang w:eastAsia="de-DE"/>
        </w:rPr>
        <w:t xml:space="preserve"> </w:t>
      </w:r>
      <w:r w:rsidRPr="001D3FF4">
        <w:rPr>
          <w:bCs/>
          <w:lang w:eastAsia="de-DE"/>
        </w:rPr>
        <w:t>require the designated provider of port services</w:t>
      </w:r>
      <w:r w:rsidRPr="001D3FF4">
        <w:rPr>
          <w:iCs/>
          <w:lang w:eastAsia="de-DE"/>
        </w:rPr>
        <w:t xml:space="preserve"> to grant staff </w:t>
      </w:r>
      <w:r w:rsidRPr="001D3FF4">
        <w:rPr>
          <w:bCs/>
          <w:iCs/>
          <w:lang w:eastAsia="de-DE"/>
        </w:rPr>
        <w:t xml:space="preserve">working conditions </w:t>
      </w:r>
      <w:r w:rsidRPr="001D3FF4">
        <w:rPr>
          <w:iCs/>
          <w:lang w:eastAsia="de-DE"/>
        </w:rPr>
        <w:t xml:space="preserve">in accordance with applicable obligations in the field of social and labour law and </w:t>
      </w:r>
      <w:r w:rsidRPr="001D3FF4">
        <w:rPr>
          <w:lang w:eastAsia="de-DE"/>
        </w:rPr>
        <w:t>to comply with</w:t>
      </w:r>
      <w:r w:rsidRPr="001D3FF4">
        <w:rPr>
          <w:b/>
          <w:lang w:eastAsia="de-DE"/>
        </w:rPr>
        <w:t xml:space="preserve"> </w:t>
      </w:r>
      <w:r w:rsidRPr="001D3FF4">
        <w:rPr>
          <w:bCs/>
          <w:lang w:eastAsia="de-DE"/>
        </w:rPr>
        <w:t>social standards</w:t>
      </w:r>
      <w:r w:rsidRPr="001D3FF4">
        <w:rPr>
          <w:b/>
          <w:lang w:eastAsia="de-DE"/>
        </w:rPr>
        <w:t xml:space="preserve"> </w:t>
      </w:r>
      <w:r w:rsidRPr="001D3FF4">
        <w:rPr>
          <w:bCs/>
          <w:lang w:eastAsia="de-DE"/>
        </w:rPr>
        <w:t>as set out in Union law, national law</w:t>
      </w:r>
      <w:r w:rsidRPr="001D3FF4">
        <w:rPr>
          <w:rFonts w:eastAsia="EUAlbertina-Regular-Identity-H"/>
          <w:bCs/>
          <w:lang w:eastAsia="de-DE"/>
        </w:rPr>
        <w:t>, or collective agreements.</w:t>
      </w:r>
    </w:p>
    <w:p w:rsidR="00C90A87" w:rsidRPr="001D3FF4" w:rsidRDefault="00C90A87" w:rsidP="008E1074">
      <w:pPr>
        <w:rPr>
          <w:b/>
          <w:bCs/>
          <w:iCs/>
          <w:lang w:eastAsia="de-DE"/>
        </w:rPr>
      </w:pPr>
      <w:r w:rsidRPr="001D3FF4">
        <w:rPr>
          <w:bCs/>
          <w:iCs/>
          <w:lang w:eastAsia="de-DE"/>
        </w:rPr>
        <w:t xml:space="preserve">2a. In the case of a change of provider of port services that is due to the award of a concession or public contract, </w:t>
      </w:r>
      <w:r w:rsidRPr="001D3FF4">
        <w:rPr>
          <w:rFonts w:eastAsia="EUAlbertina-Regular-Identity-H"/>
          <w:lang w:eastAsia="de-DE"/>
        </w:rPr>
        <w:t>the managing body of the port,</w:t>
      </w:r>
      <w:r w:rsidRPr="001D3FF4">
        <w:rPr>
          <w:iCs/>
          <w:lang w:eastAsia="de-DE"/>
        </w:rPr>
        <w:t xml:space="preserve"> or the competent authority,</w:t>
      </w:r>
      <w:r w:rsidRPr="001D3FF4">
        <w:rPr>
          <w:bCs/>
          <w:iCs/>
          <w:lang w:eastAsia="de-DE"/>
        </w:rPr>
        <w:t xml:space="preserve"> may require that the rights and obligations </w:t>
      </w:r>
      <w:r w:rsidRPr="001D3FF4">
        <w:rPr>
          <w:iCs/>
          <w:lang w:eastAsia="de-DE"/>
        </w:rPr>
        <w:t>of the outgoing provider of port services</w:t>
      </w:r>
      <w:r w:rsidRPr="001D3FF4">
        <w:rPr>
          <w:bCs/>
          <w:iCs/>
          <w:lang w:eastAsia="de-DE"/>
        </w:rPr>
        <w:t xml:space="preserve"> arising from a contract of employment</w:t>
      </w:r>
      <w:r w:rsidRPr="001D3FF4">
        <w:rPr>
          <w:b/>
          <w:iCs/>
          <w:lang w:eastAsia="de-DE"/>
        </w:rPr>
        <w:t>,</w:t>
      </w:r>
      <w:r w:rsidRPr="001D3FF4">
        <w:rPr>
          <w:bCs/>
          <w:iCs/>
          <w:lang w:eastAsia="de-DE"/>
        </w:rPr>
        <w:t xml:space="preserve"> or from an employment relationship as defined in national law, and</w:t>
      </w:r>
      <w:r w:rsidRPr="001D3FF4">
        <w:rPr>
          <w:b/>
          <w:iCs/>
          <w:lang w:eastAsia="de-DE"/>
        </w:rPr>
        <w:t xml:space="preserve"> </w:t>
      </w:r>
      <w:r w:rsidRPr="001D3FF4">
        <w:rPr>
          <w:bCs/>
          <w:iCs/>
          <w:lang w:eastAsia="de-DE"/>
        </w:rPr>
        <w:t>existing on the date of that change, are transferred to the newly appointed provider of port services</w:t>
      </w:r>
      <w:r w:rsidRPr="001D3FF4">
        <w:rPr>
          <w:iCs/>
          <w:lang w:eastAsia="de-DE"/>
        </w:rPr>
        <w:t xml:space="preserve">. </w:t>
      </w:r>
      <w:r w:rsidRPr="001D3FF4">
        <w:rPr>
          <w:bCs/>
          <w:iCs/>
          <w:lang w:eastAsia="de-DE"/>
        </w:rPr>
        <w:t xml:space="preserve">In such case, </w:t>
      </w:r>
      <w:r w:rsidRPr="001D3FF4">
        <w:rPr>
          <w:iCs/>
          <w:lang w:eastAsia="de-DE"/>
        </w:rPr>
        <w:t>the staff previously taken on by the outgoing</w:t>
      </w:r>
      <w:r w:rsidRPr="001D3FF4">
        <w:rPr>
          <w:b/>
          <w:bCs/>
          <w:iCs/>
          <w:lang w:eastAsia="de-DE"/>
        </w:rPr>
        <w:t xml:space="preserve"> </w:t>
      </w:r>
      <w:r w:rsidRPr="001D3FF4">
        <w:rPr>
          <w:iCs/>
          <w:lang w:eastAsia="de-DE"/>
        </w:rPr>
        <w:t xml:space="preserve">provider of port services </w:t>
      </w:r>
      <w:r w:rsidRPr="001D3FF4">
        <w:rPr>
          <w:lang w:eastAsia="de-DE"/>
        </w:rPr>
        <w:t>shall be granted</w:t>
      </w:r>
      <w:r w:rsidRPr="001D3FF4">
        <w:rPr>
          <w:bCs/>
          <w:iCs/>
          <w:lang w:eastAsia="de-DE"/>
        </w:rPr>
        <w:t xml:space="preserve"> the </w:t>
      </w:r>
      <w:r w:rsidRPr="001D3FF4">
        <w:rPr>
          <w:lang w:eastAsia="de-DE"/>
        </w:rPr>
        <w:t>same</w:t>
      </w:r>
      <w:r w:rsidRPr="001D3FF4">
        <w:rPr>
          <w:bCs/>
          <w:iCs/>
          <w:lang w:eastAsia="de-DE"/>
        </w:rPr>
        <w:t xml:space="preserve"> rights</w:t>
      </w:r>
      <w:r w:rsidRPr="001D3FF4">
        <w:rPr>
          <w:iCs/>
          <w:lang w:eastAsia="de-DE"/>
        </w:rPr>
        <w:t xml:space="preserve"> </w:t>
      </w:r>
      <w:r w:rsidRPr="001D3FF4">
        <w:rPr>
          <w:bCs/>
          <w:lang w:eastAsia="de-DE"/>
        </w:rPr>
        <w:t>as those</w:t>
      </w:r>
      <w:r w:rsidRPr="001D3FF4">
        <w:rPr>
          <w:iCs/>
          <w:lang w:eastAsia="de-DE"/>
        </w:rPr>
        <w:t xml:space="preserve"> to which they would have been entitled if there had been a transfer </w:t>
      </w:r>
      <w:r w:rsidRPr="001D3FF4">
        <w:rPr>
          <w:lang w:eastAsia="de-DE"/>
        </w:rPr>
        <w:t>of undertaking</w:t>
      </w:r>
      <w:r w:rsidRPr="001D3FF4">
        <w:rPr>
          <w:bCs/>
          <w:iCs/>
          <w:lang w:eastAsia="de-DE"/>
        </w:rPr>
        <w:t xml:space="preserve"> </w:t>
      </w:r>
      <w:r w:rsidRPr="001D3FF4">
        <w:rPr>
          <w:iCs/>
          <w:lang w:eastAsia="de-DE"/>
        </w:rPr>
        <w:t>within the meaning of Directive 2001/23/EC.</w:t>
      </w:r>
    </w:p>
    <w:p w:rsidR="00C90A87" w:rsidRPr="001D3FF4" w:rsidRDefault="00C90A87" w:rsidP="008E1074">
      <w:pPr>
        <w:rPr>
          <w:b/>
          <w:lang w:eastAsia="de-DE"/>
        </w:rPr>
      </w:pPr>
      <w:r w:rsidRPr="001D3FF4">
        <w:rPr>
          <w:bCs/>
          <w:iCs/>
          <w:lang w:eastAsia="de-DE"/>
        </w:rPr>
        <w:t xml:space="preserve">3. </w:t>
      </w:r>
      <w:r w:rsidRPr="001D3FF4">
        <w:rPr>
          <w:rFonts w:eastAsia="EUAlbertina-Regular-Identity-H"/>
          <w:bCs/>
          <w:lang w:eastAsia="de-DE"/>
        </w:rPr>
        <w:t>When, in the context of the provision of port services covered by this Regulation, a transfer of staff occurs,</w:t>
      </w:r>
      <w:r w:rsidRPr="001D3FF4">
        <w:rPr>
          <w:bCs/>
          <w:lang w:eastAsia="de-DE"/>
        </w:rPr>
        <w:t xml:space="preserve"> tender documents and port service contracts shall list the staff concerned and give transparent details of their contractual rights and the conditions under which employees are deemed to be linked to the port services.</w:t>
      </w:r>
      <w:r w:rsidR="000B19E3" w:rsidRPr="001D3FF4">
        <w:rPr>
          <w:rStyle w:val="Fotnotereferanse"/>
          <w:bCs/>
          <w:lang w:eastAsia="de-DE"/>
        </w:rPr>
        <w:footnoteReference w:id="22"/>
      </w:r>
    </w:p>
    <w:p w:rsidR="000B19E3" w:rsidRPr="001D3FF4" w:rsidRDefault="000B19E3" w:rsidP="00592014">
      <w:pPr>
        <w:rPr>
          <w:bCs/>
        </w:rPr>
      </w:pPr>
    </w:p>
    <w:p w:rsidR="000B19E3" w:rsidRPr="001D3FF4" w:rsidRDefault="000B19E3" w:rsidP="00592014">
      <w:pPr>
        <w:jc w:val="center"/>
        <w:rPr>
          <w:bCs/>
        </w:rPr>
      </w:pPr>
      <w:r w:rsidRPr="001D3FF4">
        <w:rPr>
          <w:bCs/>
        </w:rPr>
        <w:t>Article 11</w:t>
      </w:r>
    </w:p>
    <w:p w:rsidR="000B19E3" w:rsidRPr="001D3FF4" w:rsidRDefault="000B19E3" w:rsidP="00592014">
      <w:pPr>
        <w:jc w:val="center"/>
        <w:rPr>
          <w:bCs/>
        </w:rPr>
      </w:pPr>
      <w:r w:rsidRPr="001D3FF4">
        <w:rPr>
          <w:bCs/>
        </w:rPr>
        <w:t>Exemptions</w:t>
      </w:r>
    </w:p>
    <w:p w:rsidR="000B19E3" w:rsidRPr="001D3FF4" w:rsidRDefault="008006E7" w:rsidP="00784BBD">
      <w:pPr>
        <w:rPr>
          <w:b/>
          <w:bCs/>
          <w:lang w:eastAsia="de-DE"/>
        </w:rPr>
      </w:pPr>
      <w:r w:rsidRPr="001D3FF4">
        <w:rPr>
          <w:b/>
          <w:bCs/>
          <w:u w:val="single"/>
          <w:lang w:eastAsia="de-DE"/>
        </w:rPr>
        <w:t>1.</w:t>
      </w:r>
      <w:r w:rsidRPr="001D3FF4">
        <w:rPr>
          <w:b/>
          <w:bCs/>
          <w:lang w:eastAsia="de-DE"/>
        </w:rPr>
        <w:t xml:space="preserve"> </w:t>
      </w:r>
      <w:r w:rsidR="000B19E3" w:rsidRPr="001D3FF4">
        <w:rPr>
          <w:lang w:eastAsia="de-DE"/>
        </w:rPr>
        <w:t>This Chapter and the transitional provisions of Article 24 shall not apply to cargo handling</w:t>
      </w:r>
      <w:r w:rsidRPr="00EA6097">
        <w:rPr>
          <w:b/>
          <w:bCs/>
          <w:u w:val="single"/>
          <w:lang w:eastAsia="de-DE"/>
        </w:rPr>
        <w:t>,</w:t>
      </w:r>
      <w:r w:rsidR="000B19E3" w:rsidRPr="001D3FF4">
        <w:rPr>
          <w:lang w:eastAsia="de-DE"/>
        </w:rPr>
        <w:t xml:space="preserve"> </w:t>
      </w:r>
      <w:r w:rsidR="000B19E3" w:rsidRPr="001D3FF4">
        <w:rPr>
          <w:strike/>
          <w:lang w:eastAsia="de-DE"/>
        </w:rPr>
        <w:t>and</w:t>
      </w:r>
      <w:r w:rsidR="000B19E3" w:rsidRPr="001D3FF4">
        <w:rPr>
          <w:lang w:eastAsia="de-DE"/>
        </w:rPr>
        <w:t xml:space="preserve"> passenger services</w:t>
      </w:r>
      <w:r w:rsidRPr="001D3FF4">
        <w:rPr>
          <w:lang w:eastAsia="de-DE"/>
        </w:rPr>
        <w:t xml:space="preserve"> </w:t>
      </w:r>
      <w:r w:rsidRPr="001D3FF4">
        <w:rPr>
          <w:b/>
          <w:bCs/>
          <w:u w:val="single"/>
          <w:lang w:eastAsia="de-DE"/>
        </w:rPr>
        <w:t>and pilotage</w:t>
      </w:r>
      <w:r w:rsidR="000B19E3" w:rsidRPr="001D3FF4">
        <w:rPr>
          <w:lang w:eastAsia="de-DE"/>
        </w:rPr>
        <w:t>.</w:t>
      </w:r>
      <w:r w:rsidR="00784BBD" w:rsidRPr="00784BBD">
        <w:rPr>
          <w:rStyle w:val="Fotnotereferanse"/>
          <w:lang w:eastAsia="de-DE"/>
        </w:rPr>
        <w:footnoteReference w:customMarkFollows="1" w:id="23"/>
        <w:sym w:font="Symbol" w:char="F02A"/>
      </w:r>
    </w:p>
    <w:p w:rsidR="000B19E3" w:rsidRPr="001D3FF4" w:rsidRDefault="000B19E3" w:rsidP="00592014">
      <w:pPr>
        <w:jc w:val="center"/>
        <w:rPr>
          <w:strike/>
          <w:lang w:eastAsia="de-DE"/>
        </w:rPr>
      </w:pPr>
      <w:r w:rsidRPr="001D3FF4">
        <w:rPr>
          <w:strike/>
          <w:lang w:eastAsia="de-DE"/>
        </w:rPr>
        <w:t>Article 11a</w:t>
      </w:r>
      <w:r w:rsidRPr="001D3FF4">
        <w:rPr>
          <w:strike/>
          <w:lang w:eastAsia="de-DE"/>
        </w:rPr>
        <w:br/>
        <w:t>National derogations</w:t>
      </w:r>
    </w:p>
    <w:p w:rsidR="000B19E3" w:rsidRPr="001D3FF4" w:rsidRDefault="008006E7" w:rsidP="008006E7">
      <w:pPr>
        <w:rPr>
          <w:b/>
          <w:bCs/>
          <w:lang w:eastAsia="de-DE"/>
        </w:rPr>
      </w:pPr>
      <w:r w:rsidRPr="001D3FF4">
        <w:rPr>
          <w:b/>
          <w:bCs/>
          <w:u w:val="single"/>
          <w:lang w:eastAsia="de-DE"/>
        </w:rPr>
        <w:t>2.</w:t>
      </w:r>
      <w:r w:rsidRPr="001D3FF4">
        <w:rPr>
          <w:b/>
          <w:bCs/>
          <w:lang w:eastAsia="de-DE"/>
        </w:rPr>
        <w:t xml:space="preserve"> </w:t>
      </w:r>
      <w:r w:rsidR="000B19E3" w:rsidRPr="001D3FF4">
        <w:rPr>
          <w:lang w:eastAsia="de-DE"/>
        </w:rPr>
        <w:t xml:space="preserve">Member States may decide </w:t>
      </w:r>
      <w:r w:rsidR="000B19E3" w:rsidRPr="001D3FF4">
        <w:rPr>
          <w:strike/>
          <w:lang w:eastAsia="de-DE"/>
        </w:rPr>
        <w:t>not</w:t>
      </w:r>
      <w:r w:rsidR="000B19E3" w:rsidRPr="001D3FF4">
        <w:rPr>
          <w:lang w:eastAsia="de-DE"/>
        </w:rPr>
        <w:t xml:space="preserve"> to apply this Chapter and the transitional provisions of Article 24 to pilotage. Member States shall inform the Commission </w:t>
      </w:r>
      <w:r w:rsidR="00592014" w:rsidRPr="001D3FF4">
        <w:rPr>
          <w:lang w:eastAsia="de-DE"/>
        </w:rPr>
        <w:t>thereof.</w:t>
      </w:r>
    </w:p>
    <w:p w:rsidR="000B19E3" w:rsidRPr="001D3FF4" w:rsidRDefault="00592014" w:rsidP="00592014">
      <w:pPr>
        <w:jc w:val="center"/>
        <w:rPr>
          <w:lang w:eastAsia="de-DE"/>
        </w:rPr>
      </w:pPr>
      <w:r w:rsidRPr="001D3FF4">
        <w:rPr>
          <w:caps/>
          <w:lang w:eastAsia="de-DE"/>
        </w:rPr>
        <w:br w:type="page"/>
      </w:r>
      <w:r w:rsidRPr="001D3FF4">
        <w:rPr>
          <w:caps/>
          <w:lang w:eastAsia="de-DE"/>
        </w:rPr>
        <w:lastRenderedPageBreak/>
        <w:t>CHAPTER III – F</w:t>
      </w:r>
      <w:r w:rsidRPr="001D3FF4">
        <w:rPr>
          <w:lang w:eastAsia="de-DE"/>
        </w:rPr>
        <w:t>inancial transparency and autonomy</w:t>
      </w:r>
    </w:p>
    <w:p w:rsidR="00592014" w:rsidRPr="001D3FF4" w:rsidRDefault="00592014" w:rsidP="00592014">
      <w:pPr>
        <w:pStyle w:val="Normal6"/>
        <w:spacing w:after="0" w:line="360" w:lineRule="auto"/>
        <w:jc w:val="center"/>
        <w:rPr>
          <w:lang w:eastAsia="de-DE"/>
        </w:rPr>
      </w:pPr>
      <w:r w:rsidRPr="001D3FF4">
        <w:rPr>
          <w:lang w:eastAsia="de-DE"/>
        </w:rPr>
        <w:t>Article 12</w:t>
      </w:r>
    </w:p>
    <w:p w:rsidR="00592014" w:rsidRPr="001D3FF4" w:rsidRDefault="00592014" w:rsidP="00592014">
      <w:pPr>
        <w:jc w:val="center"/>
        <w:rPr>
          <w:lang w:eastAsia="de-DE"/>
        </w:rPr>
      </w:pPr>
      <w:r w:rsidRPr="001D3FF4">
        <w:rPr>
          <w:lang w:eastAsia="de-DE"/>
        </w:rPr>
        <w:t>Transparency of financial relations</w:t>
      </w:r>
    </w:p>
    <w:p w:rsidR="00592014" w:rsidRPr="001D3FF4" w:rsidRDefault="00592014" w:rsidP="00592014">
      <w:pPr>
        <w:rPr>
          <w:rFonts w:eastAsia="EUAlbertina-Regular-Identity-H"/>
          <w:lang w:eastAsia="de-DE"/>
        </w:rPr>
      </w:pPr>
      <w:r w:rsidRPr="001D3FF4">
        <w:rPr>
          <w:rFonts w:eastAsia="EUAlbertina-Regular-Identity-H"/>
          <w:lang w:eastAsia="de-DE"/>
        </w:rPr>
        <w:t xml:space="preserve">1. The </w:t>
      </w:r>
      <w:r w:rsidRPr="001D3FF4">
        <w:rPr>
          <w:lang w:eastAsia="de-DE"/>
        </w:rPr>
        <w:t>financial</w:t>
      </w:r>
      <w:r w:rsidRPr="001D3FF4">
        <w:rPr>
          <w:rFonts w:eastAsia="EUAlbertina-Regular-Identity-H"/>
          <w:lang w:eastAsia="de-DE"/>
        </w:rPr>
        <w:t xml:space="preserve"> relations between public authorities and a managing body of </w:t>
      </w:r>
      <w:r w:rsidRPr="001D3FF4">
        <w:rPr>
          <w:rFonts w:eastAsia="EUAlbertina-Regular-Identity-H"/>
          <w:iCs/>
          <w:lang w:eastAsia="de-DE"/>
        </w:rPr>
        <w:t>a</w:t>
      </w:r>
      <w:r w:rsidRPr="001D3FF4">
        <w:rPr>
          <w:rFonts w:eastAsia="EUAlbertina-Regular-Identity-H"/>
          <w:bCs/>
          <w:lang w:eastAsia="de-DE"/>
        </w:rPr>
        <w:t xml:space="preserve"> </w:t>
      </w:r>
      <w:r w:rsidRPr="001D3FF4">
        <w:rPr>
          <w:rFonts w:eastAsia="EUAlbertina-Regular-Identity-H"/>
          <w:lang w:eastAsia="de-DE"/>
        </w:rPr>
        <w:t>port</w:t>
      </w:r>
      <w:r w:rsidRPr="001D3FF4">
        <w:rPr>
          <w:rFonts w:eastAsia="EUAlbertina-Regular-Identity-H"/>
          <w:bCs/>
          <w:iCs/>
          <w:lang w:eastAsia="de-DE"/>
        </w:rPr>
        <w:t>, or other entity that provides port services on its behalf,</w:t>
      </w:r>
      <w:r w:rsidRPr="001D3FF4">
        <w:rPr>
          <w:rFonts w:eastAsia="EUAlbertina-Regular-Identity-H"/>
          <w:lang w:eastAsia="de-DE"/>
        </w:rPr>
        <w:t xml:space="preserve"> </w:t>
      </w:r>
      <w:r w:rsidRPr="001D3FF4">
        <w:rPr>
          <w:rFonts w:eastAsia="EUAlbertina-Regular-Identity-H"/>
          <w:bCs/>
          <w:iCs/>
          <w:lang w:eastAsia="de-DE"/>
        </w:rPr>
        <w:t>in receipt of</w:t>
      </w:r>
      <w:r w:rsidRPr="001D3FF4">
        <w:rPr>
          <w:rFonts w:eastAsia="EUAlbertina-Regular-Identity-H"/>
          <w:bCs/>
          <w:lang w:eastAsia="de-DE"/>
        </w:rPr>
        <w:t xml:space="preserve"> </w:t>
      </w:r>
      <w:r w:rsidRPr="001D3FF4">
        <w:rPr>
          <w:rFonts w:eastAsia="EUAlbertina-Regular-Identity-H"/>
          <w:lang w:eastAsia="de-DE"/>
        </w:rPr>
        <w:t xml:space="preserve">public funds shall be reflected in a transparent way in the </w:t>
      </w:r>
      <w:r w:rsidRPr="001D3FF4">
        <w:rPr>
          <w:rFonts w:eastAsia="EUAlbertina-Regular-Identity-H"/>
          <w:iCs/>
          <w:lang w:eastAsia="de-DE"/>
        </w:rPr>
        <w:t>accounting system</w:t>
      </w:r>
      <w:r w:rsidRPr="001D3FF4">
        <w:rPr>
          <w:rFonts w:eastAsia="EUAlbertina-Regular-Identity-H"/>
          <w:lang w:eastAsia="de-DE"/>
        </w:rPr>
        <w:t xml:space="preserve"> in order to clearly show the following:</w:t>
      </w:r>
    </w:p>
    <w:p w:rsidR="00592014" w:rsidRPr="001D3FF4" w:rsidRDefault="00592014" w:rsidP="00592014">
      <w:r w:rsidRPr="001D3FF4">
        <w:t>(a) public funds made available directly by public authorities to the managing bodies of the port concerned;</w:t>
      </w:r>
    </w:p>
    <w:p w:rsidR="00592014" w:rsidRPr="001D3FF4" w:rsidRDefault="00592014" w:rsidP="00592014">
      <w:r w:rsidRPr="001D3FF4">
        <w:t xml:space="preserve"> (b) public funds made available by public authorities through the intermediary of public undertakings or public financial institutions; and</w:t>
      </w:r>
    </w:p>
    <w:p w:rsidR="00592014" w:rsidRPr="001D3FF4" w:rsidRDefault="00592014" w:rsidP="00592014">
      <w:r w:rsidRPr="001D3FF4">
        <w:t xml:space="preserve"> (c) the use which these public funds have been attributed for.</w:t>
      </w:r>
    </w:p>
    <w:p w:rsidR="00592014" w:rsidRPr="001D3FF4" w:rsidRDefault="00592014" w:rsidP="00592014">
      <w:pPr>
        <w:rPr>
          <w:lang w:eastAsia="de-DE"/>
        </w:rPr>
      </w:pPr>
      <w:r w:rsidRPr="001D3FF4">
        <w:rPr>
          <w:lang w:eastAsia="de-DE"/>
        </w:rPr>
        <w:t xml:space="preserve">2. Where the managing body of </w:t>
      </w:r>
      <w:r w:rsidRPr="001D3FF4">
        <w:rPr>
          <w:iCs/>
          <w:lang w:eastAsia="de-DE"/>
        </w:rPr>
        <w:t xml:space="preserve">a </w:t>
      </w:r>
      <w:r w:rsidRPr="001D3FF4">
        <w:rPr>
          <w:lang w:eastAsia="de-DE"/>
        </w:rPr>
        <w:t xml:space="preserve">port </w:t>
      </w:r>
      <w:r w:rsidRPr="001D3FF4">
        <w:rPr>
          <w:iCs/>
          <w:lang w:eastAsia="de-DE"/>
        </w:rPr>
        <w:t>in receipt of</w:t>
      </w:r>
      <w:r w:rsidRPr="001D3FF4">
        <w:rPr>
          <w:lang w:eastAsia="de-DE"/>
        </w:rPr>
        <w:t xml:space="preserve"> public funds provides port services </w:t>
      </w:r>
      <w:r w:rsidRPr="001D3FF4">
        <w:rPr>
          <w:iCs/>
          <w:lang w:eastAsia="de-DE"/>
        </w:rPr>
        <w:t xml:space="preserve">or dredging </w:t>
      </w:r>
      <w:r w:rsidRPr="001D3FF4">
        <w:rPr>
          <w:lang w:eastAsia="de-DE"/>
        </w:rPr>
        <w:t xml:space="preserve">itself, </w:t>
      </w:r>
      <w:r w:rsidRPr="001D3FF4">
        <w:rPr>
          <w:rFonts w:eastAsia="EUAlbertina-Regular-Identity-H"/>
          <w:lang w:eastAsia="de-DE"/>
        </w:rPr>
        <w:t>or another entity</w:t>
      </w:r>
      <w:r w:rsidRPr="001D3FF4">
        <w:rPr>
          <w:lang w:eastAsia="de-DE"/>
        </w:rPr>
        <w:t xml:space="preserve"> provides such services </w:t>
      </w:r>
      <w:r w:rsidRPr="001D3FF4">
        <w:rPr>
          <w:iCs/>
          <w:lang w:eastAsia="de-DE"/>
        </w:rPr>
        <w:t>on its behalf,</w:t>
      </w:r>
      <w:r w:rsidRPr="001D3FF4">
        <w:rPr>
          <w:lang w:eastAsia="de-DE"/>
        </w:rPr>
        <w:t xml:space="preserve"> it shall keep the accounts of </w:t>
      </w:r>
      <w:r w:rsidRPr="001D3FF4">
        <w:rPr>
          <w:iCs/>
          <w:lang w:eastAsia="de-DE"/>
        </w:rPr>
        <w:t>that publicly funded</w:t>
      </w:r>
      <w:r w:rsidRPr="001D3FF4">
        <w:rPr>
          <w:lang w:eastAsia="de-DE"/>
        </w:rPr>
        <w:t xml:space="preserve"> port service </w:t>
      </w:r>
      <w:r w:rsidRPr="001D3FF4">
        <w:rPr>
          <w:iCs/>
          <w:lang w:eastAsia="de-DE"/>
        </w:rPr>
        <w:t>or dredging,</w:t>
      </w:r>
      <w:r w:rsidRPr="001D3FF4">
        <w:rPr>
          <w:lang w:eastAsia="de-DE"/>
        </w:rPr>
        <w:t xml:space="preserve"> separate from the accounts of its other activities, in such a way that:</w:t>
      </w:r>
    </w:p>
    <w:p w:rsidR="00592014" w:rsidRPr="001D3FF4" w:rsidRDefault="00592014" w:rsidP="00592014">
      <w:pPr>
        <w:rPr>
          <w:lang w:eastAsia="de-DE"/>
        </w:rPr>
      </w:pPr>
      <w:r w:rsidRPr="001D3FF4">
        <w:rPr>
          <w:lang w:eastAsia="de-DE"/>
        </w:rPr>
        <w:t>(a) all costs and revenues are correctly assigned or allocated on the basis of consistently applied and objectively justifiable cost accounting principles; and</w:t>
      </w:r>
    </w:p>
    <w:p w:rsidR="00592014" w:rsidRPr="001D3FF4" w:rsidRDefault="00592014" w:rsidP="00592014">
      <w:pPr>
        <w:rPr>
          <w:lang w:eastAsia="de-DE"/>
        </w:rPr>
      </w:pPr>
      <w:r w:rsidRPr="001D3FF4">
        <w:rPr>
          <w:lang w:eastAsia="de-DE"/>
        </w:rPr>
        <w:t>(b) the cost accounting principles according to which separate accounts are maintained are clearly established.</w:t>
      </w:r>
    </w:p>
    <w:p w:rsidR="00592014" w:rsidRPr="001D3FF4" w:rsidRDefault="00592014" w:rsidP="00592014">
      <w:pPr>
        <w:rPr>
          <w:lang w:eastAsia="de-DE"/>
        </w:rPr>
      </w:pPr>
      <w:r w:rsidRPr="001D3FF4">
        <w:rPr>
          <w:lang w:eastAsia="de-DE"/>
        </w:rPr>
        <w:t>3. The public funds referred to in paragraph 1 shall include share capital or quasi-capital funds, non-refundable grants, grants only refundable in certain circumstances, award of loans including overdrafts and advances on capital injections, guarantees given to the managing body of the port by public authorities</w:t>
      </w:r>
      <w:r w:rsidR="00C7511F">
        <w:rPr>
          <w:lang w:eastAsia="de-DE"/>
        </w:rPr>
        <w:t xml:space="preserve"> </w:t>
      </w:r>
      <w:r w:rsidRPr="001D3FF4">
        <w:rPr>
          <w:lang w:eastAsia="de-DE"/>
        </w:rPr>
        <w:t>or any other form of public financial support.</w:t>
      </w:r>
    </w:p>
    <w:p w:rsidR="00592014" w:rsidRPr="001D3FF4" w:rsidRDefault="00592014" w:rsidP="00592014">
      <w:pPr>
        <w:rPr>
          <w:lang w:eastAsia="de-DE"/>
        </w:rPr>
      </w:pPr>
      <w:r w:rsidRPr="001D3FF4">
        <w:rPr>
          <w:lang w:eastAsia="de-DE"/>
        </w:rPr>
        <w:t xml:space="preserve">4. The managing body of the port, </w:t>
      </w:r>
      <w:r w:rsidRPr="001D3FF4">
        <w:rPr>
          <w:rFonts w:eastAsia="EUAlbertina-Regular-Identity-H"/>
          <w:lang w:eastAsia="de-DE"/>
        </w:rPr>
        <w:t>or other entity that provides port services on its behalf,</w:t>
      </w:r>
      <w:r w:rsidRPr="001D3FF4">
        <w:rPr>
          <w:bCs/>
          <w:lang w:eastAsia="de-DE"/>
        </w:rPr>
        <w:t xml:space="preserve"> </w:t>
      </w:r>
      <w:r w:rsidRPr="001D3FF4">
        <w:rPr>
          <w:lang w:eastAsia="de-DE"/>
        </w:rPr>
        <w:t>shall keep the information concerning the financial relations as referred to in paragraphs 1 and 2 of this Article for five years from the end of the fiscal year to which the information refers.</w:t>
      </w:r>
    </w:p>
    <w:p w:rsidR="00592014" w:rsidRPr="001D3FF4" w:rsidRDefault="00592014" w:rsidP="00592014">
      <w:pPr>
        <w:rPr>
          <w:lang w:eastAsia="de-DE"/>
        </w:rPr>
      </w:pPr>
      <w:r w:rsidRPr="001D3FF4">
        <w:rPr>
          <w:lang w:eastAsia="de-DE"/>
        </w:rPr>
        <w:lastRenderedPageBreak/>
        <w:t xml:space="preserve">5. The managing body of the port, </w:t>
      </w:r>
      <w:r w:rsidRPr="001D3FF4">
        <w:rPr>
          <w:rFonts w:eastAsia="EUAlbertina-Regular-Identity-H"/>
          <w:lang w:eastAsia="de-DE"/>
        </w:rPr>
        <w:t>or other entity that provides port services on its behalf,</w:t>
      </w:r>
      <w:r w:rsidRPr="001D3FF4">
        <w:rPr>
          <w:lang w:eastAsia="de-DE"/>
        </w:rPr>
        <w:t xml:space="preserve"> shall, </w:t>
      </w:r>
      <w:r w:rsidRPr="001D3FF4">
        <w:rPr>
          <w:bCs/>
          <w:lang w:eastAsia="de-DE"/>
        </w:rPr>
        <w:t>in the event of a formal complaint and upon request, make available to the relevant authority in the Member State concerned the information referred to in paragraphs 1 and 2 and any</w:t>
      </w:r>
      <w:r w:rsidRPr="001D3FF4">
        <w:rPr>
          <w:lang w:eastAsia="de-DE"/>
        </w:rPr>
        <w:t xml:space="preserve"> additional information that they deem necessary in order to complete a thorough appraisal of the data submitted and to assess compliance with this Regulation in line with competition rules. Such information shall be made available to the Commission by the </w:t>
      </w:r>
      <w:r w:rsidRPr="001D3FF4">
        <w:rPr>
          <w:bCs/>
          <w:lang w:eastAsia="de-DE"/>
        </w:rPr>
        <w:t>relevant</w:t>
      </w:r>
      <w:r w:rsidRPr="001D3FF4">
        <w:rPr>
          <w:b/>
          <w:lang w:eastAsia="de-DE"/>
        </w:rPr>
        <w:t xml:space="preserve"> </w:t>
      </w:r>
      <w:r w:rsidRPr="001D3FF4">
        <w:rPr>
          <w:lang w:eastAsia="de-DE"/>
        </w:rPr>
        <w:t>authority upon request. The information shall be transmitted within three months from the date of the request.</w:t>
      </w:r>
    </w:p>
    <w:p w:rsidR="00592014" w:rsidRPr="001D3FF4" w:rsidRDefault="00592014" w:rsidP="00592014">
      <w:pPr>
        <w:rPr>
          <w:bCs/>
          <w:iCs/>
          <w:lang w:eastAsia="de-DE"/>
        </w:rPr>
      </w:pPr>
      <w:r w:rsidRPr="001D3FF4">
        <w:rPr>
          <w:lang w:eastAsia="de-DE"/>
        </w:rPr>
        <w:t xml:space="preserve">6. </w:t>
      </w:r>
      <w:r w:rsidRPr="001D3FF4">
        <w:rPr>
          <w:iCs/>
          <w:lang w:eastAsia="de-DE"/>
        </w:rPr>
        <w:t>The managing body</w:t>
      </w:r>
      <w:r w:rsidRPr="001D3FF4">
        <w:rPr>
          <w:lang w:eastAsia="de-DE"/>
        </w:rPr>
        <w:t xml:space="preserve"> of the port</w:t>
      </w:r>
      <w:r w:rsidRPr="001D3FF4">
        <w:rPr>
          <w:bCs/>
          <w:iCs/>
          <w:lang w:eastAsia="de-DE"/>
        </w:rPr>
        <w:t>,</w:t>
      </w:r>
      <w:r w:rsidRPr="001D3FF4">
        <w:rPr>
          <w:rFonts w:eastAsia="EUAlbertina-Regular-Identity-H"/>
          <w:bCs/>
          <w:iCs/>
          <w:lang w:eastAsia="de-DE"/>
        </w:rPr>
        <w:t xml:space="preserve"> or other entity that provides port services on its behalf,</w:t>
      </w:r>
      <w:r w:rsidRPr="001D3FF4">
        <w:rPr>
          <w:lang w:eastAsia="de-DE"/>
        </w:rPr>
        <w:t xml:space="preserve"> that </w:t>
      </w:r>
      <w:r w:rsidRPr="001D3FF4">
        <w:rPr>
          <w:iCs/>
          <w:lang w:eastAsia="de-DE"/>
        </w:rPr>
        <w:t>has</w:t>
      </w:r>
      <w:r w:rsidRPr="001D3FF4">
        <w:rPr>
          <w:lang w:eastAsia="de-DE"/>
        </w:rPr>
        <w:t xml:space="preserve"> not received public funds in previous accounting years but which start benefitting from public funds shall apply paragraphs 1 and 2 from the accounting year following the transfer of the public funds</w:t>
      </w:r>
      <w:r w:rsidRPr="001D3FF4">
        <w:rPr>
          <w:bCs/>
          <w:iCs/>
          <w:lang w:eastAsia="de-DE"/>
        </w:rPr>
        <w:t>.</w:t>
      </w:r>
    </w:p>
    <w:p w:rsidR="00592014" w:rsidRPr="001D3FF4" w:rsidRDefault="00592014" w:rsidP="00592014">
      <w:pPr>
        <w:rPr>
          <w:lang w:eastAsia="de-DE"/>
        </w:rPr>
      </w:pPr>
      <w:r w:rsidRPr="001D3FF4">
        <w:rPr>
          <w:lang w:eastAsia="de-DE"/>
        </w:rPr>
        <w:t>7. Where public funds are paid as a compensation for a public service obligation, they shall be shown separately in the relevant accounts and may not be transferred to any other service or business activity.</w:t>
      </w:r>
    </w:p>
    <w:p w:rsidR="00592014" w:rsidRPr="001D3FF4" w:rsidRDefault="00592014" w:rsidP="00592014">
      <w:pPr>
        <w:rPr>
          <w:bCs/>
          <w:iCs/>
          <w:lang w:eastAsia="de-DE"/>
        </w:rPr>
      </w:pPr>
      <w:r w:rsidRPr="001D3FF4">
        <w:rPr>
          <w:bCs/>
          <w:iCs/>
          <w:lang w:eastAsia="de-DE"/>
        </w:rPr>
        <w:t>7a. Member States may decide that paragraph 2 shall not apply to their ports of the comprehensive network which do not meet the criteria in point (b) of Article 20(2) of Regulation (EU) No 1315/2013 in case of disproportionate administrative burdens, provided that any public funds received, and their use for providing port services, remain fully transparent in the accounting system. In such case, the Member States shall inform the Commission thereof in advance.</w:t>
      </w:r>
    </w:p>
    <w:p w:rsidR="00592014" w:rsidRPr="001D3FF4" w:rsidRDefault="00554C82" w:rsidP="00592014">
      <w:pPr>
        <w:pStyle w:val="Normal6"/>
        <w:spacing w:after="0" w:line="360" w:lineRule="auto"/>
        <w:jc w:val="center"/>
        <w:rPr>
          <w:lang w:eastAsia="de-DE"/>
        </w:rPr>
      </w:pPr>
      <w:r>
        <w:rPr>
          <w:lang w:eastAsia="de-DE"/>
        </w:rPr>
        <w:br w:type="page"/>
      </w:r>
      <w:r w:rsidR="00592014" w:rsidRPr="001D3FF4">
        <w:rPr>
          <w:lang w:eastAsia="de-DE"/>
        </w:rPr>
        <w:lastRenderedPageBreak/>
        <w:t>Article 13</w:t>
      </w:r>
    </w:p>
    <w:p w:rsidR="00592014" w:rsidRPr="001D3FF4" w:rsidRDefault="00592014" w:rsidP="00592014">
      <w:pPr>
        <w:jc w:val="center"/>
        <w:rPr>
          <w:rFonts w:eastAsia="EUAlbertina-Regular-Identity-H"/>
          <w:lang w:eastAsia="de-DE"/>
        </w:rPr>
      </w:pPr>
      <w:r w:rsidRPr="001D3FF4">
        <w:rPr>
          <w:rFonts w:eastAsia="EUAlbertina-Regular-Identity-H"/>
          <w:lang w:eastAsia="de-DE"/>
        </w:rPr>
        <w:t>Port service charges</w:t>
      </w:r>
    </w:p>
    <w:p w:rsidR="00592014" w:rsidRPr="001D3FF4" w:rsidRDefault="00592014" w:rsidP="00592014">
      <w:pPr>
        <w:rPr>
          <w:rFonts w:eastAsia="EUAlbertina-Regular-Identity-H"/>
          <w:lang w:eastAsia="de-DE"/>
        </w:rPr>
      </w:pPr>
      <w:r w:rsidRPr="001D3FF4">
        <w:rPr>
          <w:lang w:eastAsia="de-DE"/>
        </w:rPr>
        <w:t xml:space="preserve">1. </w:t>
      </w:r>
      <w:r w:rsidRPr="001D3FF4">
        <w:rPr>
          <w:iCs/>
          <w:lang w:eastAsia="de-DE"/>
        </w:rPr>
        <w:t xml:space="preserve">The charges for the services provided by an internal operator under a public service obligation, the charges for pilotage services that are not exposed to effective competition and the charges levied by providers of port services, referred to in point (b) of </w:t>
      </w:r>
      <w:r w:rsidRPr="001D3FF4">
        <w:rPr>
          <w:lang w:eastAsia="de-DE"/>
        </w:rPr>
        <w:t>Article 6(1),</w:t>
      </w:r>
      <w:r w:rsidRPr="001D3FF4">
        <w:rPr>
          <w:b/>
          <w:lang w:eastAsia="de-DE"/>
        </w:rPr>
        <w:t xml:space="preserve"> </w:t>
      </w:r>
      <w:r w:rsidRPr="001D3FF4">
        <w:rPr>
          <w:rFonts w:eastAsia="EUAlbertina-Regular-Identity-H"/>
          <w:lang w:eastAsia="de-DE"/>
        </w:rPr>
        <w:t xml:space="preserve">shall be set in a transparent, </w:t>
      </w:r>
      <w:r w:rsidRPr="001D3FF4">
        <w:rPr>
          <w:rFonts w:eastAsia="EUAlbertina-Regular-Identity-H"/>
          <w:bCs/>
          <w:iCs/>
          <w:lang w:eastAsia="de-DE"/>
        </w:rPr>
        <w:t>objective,</w:t>
      </w:r>
      <w:r w:rsidRPr="001D3FF4">
        <w:rPr>
          <w:rFonts w:eastAsia="EUAlbertina-Regular-Identity-H"/>
          <w:lang w:eastAsia="de-DE"/>
        </w:rPr>
        <w:t xml:space="preserve"> and non-discriminatory way </w:t>
      </w:r>
      <w:r w:rsidRPr="001D3FF4">
        <w:rPr>
          <w:rFonts w:eastAsia="EUAlbertina-Regular-Identity-H"/>
          <w:bCs/>
          <w:iCs/>
          <w:lang w:eastAsia="de-DE"/>
        </w:rPr>
        <w:t>and shall be proportionate to the cost of the service provided</w:t>
      </w:r>
      <w:r w:rsidRPr="001D3FF4">
        <w:rPr>
          <w:rFonts w:eastAsia="EUAlbertina-Regular-Identity-H"/>
          <w:lang w:eastAsia="de-DE"/>
        </w:rPr>
        <w:t>.</w:t>
      </w:r>
    </w:p>
    <w:p w:rsidR="00592014" w:rsidRPr="001D3FF4" w:rsidRDefault="00592014" w:rsidP="00592014">
      <w:pPr>
        <w:rPr>
          <w:lang w:eastAsia="de-DE"/>
        </w:rPr>
      </w:pPr>
      <w:r w:rsidRPr="001D3FF4">
        <w:rPr>
          <w:lang w:eastAsia="de-DE"/>
        </w:rPr>
        <w:t xml:space="preserve">2. The payment of the port service charges may be integrated in other payments, such as the payment of the port infrastructure charges. In this case, the provider of port </w:t>
      </w:r>
      <w:r w:rsidRPr="00C7511F">
        <w:rPr>
          <w:lang w:eastAsia="de-DE"/>
        </w:rPr>
        <w:t xml:space="preserve">services </w:t>
      </w:r>
      <w:r w:rsidRPr="001D3FF4">
        <w:rPr>
          <w:lang w:eastAsia="de-DE"/>
        </w:rPr>
        <w:t>and, where appropriate, the managing body of the port shall make sure that the amount of the port service charge remains easily identifiable by the user of the port service.</w:t>
      </w:r>
    </w:p>
    <w:p w:rsidR="00592014" w:rsidRPr="001D3FF4" w:rsidRDefault="00592014" w:rsidP="00592014">
      <w:pPr>
        <w:rPr>
          <w:lang w:eastAsia="de-DE"/>
        </w:rPr>
      </w:pPr>
      <w:r w:rsidRPr="001D3FF4">
        <w:rPr>
          <w:lang w:eastAsia="de-DE"/>
        </w:rPr>
        <w:t xml:space="preserve">3. The provider </w:t>
      </w:r>
      <w:r w:rsidRPr="001D3FF4">
        <w:rPr>
          <w:iCs/>
          <w:lang w:eastAsia="de-DE"/>
        </w:rPr>
        <w:t>of port services</w:t>
      </w:r>
      <w:r w:rsidRPr="001D3FF4">
        <w:rPr>
          <w:lang w:eastAsia="de-DE"/>
        </w:rPr>
        <w:t xml:space="preserve"> shall, in the event of a formal complaint and</w:t>
      </w:r>
      <w:r w:rsidRPr="001D3FF4">
        <w:rPr>
          <w:i/>
          <w:iCs/>
          <w:lang w:eastAsia="de-DE"/>
        </w:rPr>
        <w:t xml:space="preserve"> </w:t>
      </w:r>
      <w:r w:rsidRPr="001D3FF4">
        <w:rPr>
          <w:iCs/>
          <w:lang w:eastAsia="de-DE"/>
        </w:rPr>
        <w:t>upon request,</w:t>
      </w:r>
      <w:r w:rsidRPr="001D3FF4">
        <w:rPr>
          <w:lang w:eastAsia="de-DE"/>
        </w:rPr>
        <w:t xml:space="preserve"> make available to the </w:t>
      </w:r>
      <w:r w:rsidRPr="001D3FF4">
        <w:rPr>
          <w:iCs/>
          <w:lang w:eastAsia="de-DE"/>
        </w:rPr>
        <w:t>relevant authority</w:t>
      </w:r>
      <w:r w:rsidRPr="001D3FF4">
        <w:rPr>
          <w:lang w:eastAsia="de-DE"/>
        </w:rPr>
        <w:t xml:space="preserve"> in the Member State concerned </w:t>
      </w:r>
      <w:r w:rsidRPr="001D3FF4">
        <w:rPr>
          <w:iCs/>
          <w:lang w:eastAsia="de-DE"/>
        </w:rPr>
        <w:t>any relevant</w:t>
      </w:r>
      <w:r w:rsidRPr="001D3FF4">
        <w:rPr>
          <w:lang w:eastAsia="de-DE"/>
        </w:rPr>
        <w:t xml:space="preserve"> information on the elements serving as a basis to determine the structure and the level of the port service charges that falls under the application of paragraph 1 of this Article.</w:t>
      </w:r>
    </w:p>
    <w:p w:rsidR="00592014" w:rsidRPr="001D3FF4" w:rsidRDefault="00592014" w:rsidP="00592014">
      <w:pPr>
        <w:jc w:val="center"/>
        <w:rPr>
          <w:lang w:eastAsia="de-DE"/>
        </w:rPr>
      </w:pPr>
      <w:r w:rsidRPr="001D3FF4">
        <w:rPr>
          <w:lang w:eastAsia="de-DE"/>
        </w:rPr>
        <w:t>Article 14</w:t>
      </w:r>
    </w:p>
    <w:p w:rsidR="00592014" w:rsidRPr="001D3FF4" w:rsidRDefault="00592014" w:rsidP="00592014">
      <w:pPr>
        <w:jc w:val="center"/>
        <w:rPr>
          <w:lang w:eastAsia="de-DE"/>
        </w:rPr>
      </w:pPr>
      <w:r w:rsidRPr="001D3FF4">
        <w:rPr>
          <w:lang w:eastAsia="de-DE"/>
        </w:rPr>
        <w:t>Port infrastructure charges</w:t>
      </w:r>
    </w:p>
    <w:p w:rsidR="00592014" w:rsidRPr="001D3FF4" w:rsidRDefault="00592014" w:rsidP="00592014">
      <w:pPr>
        <w:rPr>
          <w:lang w:eastAsia="de-DE"/>
        </w:rPr>
      </w:pPr>
      <w:r w:rsidRPr="001D3FF4">
        <w:rPr>
          <w:lang w:eastAsia="de-DE"/>
        </w:rPr>
        <w:t>1. Member States shall ensure that a port infrastructure charge is levied. This shall not prevent providers of port services which are using port infrastructures from levying port service charges.</w:t>
      </w:r>
    </w:p>
    <w:p w:rsidR="00592014" w:rsidRPr="001D3FF4" w:rsidRDefault="00592014" w:rsidP="00592014">
      <w:pPr>
        <w:rPr>
          <w:lang w:eastAsia="de-DE"/>
        </w:rPr>
      </w:pPr>
      <w:r w:rsidRPr="001D3FF4">
        <w:rPr>
          <w:lang w:eastAsia="de-DE"/>
        </w:rPr>
        <w:t>2. The payment of the port infrastructure charges may be integrated in other payments, such as the payment of the port service charges. In this case, the managing body of the port shall make sure that the amount of the port infrastructure charge remains easily identifiable by the user of the port infrastructure.</w:t>
      </w:r>
    </w:p>
    <w:p w:rsidR="00592014" w:rsidRPr="001D3FF4" w:rsidRDefault="00592014" w:rsidP="00AD2A6C">
      <w:pPr>
        <w:rPr>
          <w:b/>
          <w:lang w:eastAsia="de-DE"/>
        </w:rPr>
      </w:pPr>
      <w:r w:rsidRPr="00545E42">
        <w:rPr>
          <w:lang w:eastAsia="de-DE"/>
        </w:rPr>
        <w:t xml:space="preserve">3. In order to contribute to an efficient infrastructure charging system, the structure and the level of port infrastructure charges shall be determined according to </w:t>
      </w:r>
      <w:r w:rsidRPr="00545E42">
        <w:rPr>
          <w:bCs/>
          <w:lang w:eastAsia="de-DE"/>
        </w:rPr>
        <w:t>the individual port’s commercial strategy and investment plan</w:t>
      </w:r>
      <w:r w:rsidR="00545E42" w:rsidRPr="00545E42">
        <w:rPr>
          <w:b/>
          <w:u w:val="single"/>
          <w:lang w:eastAsia="de-DE"/>
        </w:rPr>
        <w:t>s</w:t>
      </w:r>
      <w:r w:rsidR="00AD2A6C" w:rsidRPr="00545E42">
        <w:rPr>
          <w:b/>
          <w:u w:val="single"/>
          <w:lang w:eastAsia="de-DE"/>
        </w:rPr>
        <w:t xml:space="preserve"> and shall comply with competition rules.</w:t>
      </w:r>
      <w:r w:rsidRPr="00545E42">
        <w:rPr>
          <w:bCs/>
          <w:strike/>
          <w:lang w:eastAsia="de-DE"/>
        </w:rPr>
        <w:t>, as well as,</w:t>
      </w:r>
      <w:r w:rsidRPr="00545E42">
        <w:rPr>
          <w:bCs/>
          <w:lang w:eastAsia="de-DE"/>
        </w:rPr>
        <w:t xml:space="preserve"> </w:t>
      </w:r>
      <w:r w:rsidR="00AD2A6C" w:rsidRPr="00545E42">
        <w:rPr>
          <w:b/>
          <w:u w:val="single"/>
          <w:lang w:eastAsia="de-DE"/>
        </w:rPr>
        <w:t>W</w:t>
      </w:r>
      <w:r w:rsidRPr="00545E42">
        <w:rPr>
          <w:bCs/>
          <w:lang w:eastAsia="de-DE"/>
        </w:rPr>
        <w:t>here relevant,</w:t>
      </w:r>
      <w:r w:rsidRPr="00545E42">
        <w:rPr>
          <w:b/>
          <w:lang w:eastAsia="de-DE"/>
        </w:rPr>
        <w:t xml:space="preserve"> </w:t>
      </w:r>
      <w:r w:rsidR="00AD2A6C" w:rsidRPr="00545E42">
        <w:rPr>
          <w:b/>
          <w:u w:val="single"/>
          <w:lang w:eastAsia="de-DE"/>
        </w:rPr>
        <w:t>such charges shall also respect the general requirements set within the framework of</w:t>
      </w:r>
      <w:r w:rsidR="00AD2A6C" w:rsidRPr="00545E42">
        <w:rPr>
          <w:bCs/>
          <w:lang w:eastAsia="de-DE"/>
        </w:rPr>
        <w:t xml:space="preserve"> </w:t>
      </w:r>
      <w:r w:rsidRPr="00545E42">
        <w:rPr>
          <w:bCs/>
          <w:lang w:eastAsia="de-DE"/>
        </w:rPr>
        <w:t xml:space="preserve">the general </w:t>
      </w:r>
      <w:r w:rsidRPr="00545E42">
        <w:rPr>
          <w:bCs/>
          <w:strike/>
          <w:lang w:eastAsia="de-DE"/>
        </w:rPr>
        <w:t>national</w:t>
      </w:r>
      <w:r w:rsidRPr="00545E42">
        <w:rPr>
          <w:bCs/>
          <w:lang w:eastAsia="de-DE"/>
        </w:rPr>
        <w:t xml:space="preserve"> ports policy </w:t>
      </w:r>
      <w:r w:rsidRPr="00545E42">
        <w:rPr>
          <w:bCs/>
          <w:strike/>
          <w:lang w:eastAsia="de-DE"/>
        </w:rPr>
        <w:t>framework</w:t>
      </w:r>
      <w:r w:rsidRPr="00545E42">
        <w:rPr>
          <w:b/>
          <w:strike/>
          <w:lang w:eastAsia="de-DE"/>
        </w:rPr>
        <w:t xml:space="preserve"> </w:t>
      </w:r>
      <w:r w:rsidRPr="00545E42">
        <w:rPr>
          <w:bCs/>
          <w:strike/>
          <w:lang w:eastAsia="de-DE"/>
        </w:rPr>
        <w:t>and legislation,</w:t>
      </w:r>
      <w:r w:rsidRPr="00545E42">
        <w:rPr>
          <w:b/>
          <w:lang w:eastAsia="de-DE"/>
        </w:rPr>
        <w:t xml:space="preserve"> </w:t>
      </w:r>
      <w:r w:rsidR="00AD2A6C" w:rsidRPr="00545E42">
        <w:rPr>
          <w:b/>
          <w:u w:val="single"/>
          <w:lang w:eastAsia="de-DE"/>
        </w:rPr>
        <w:t>of the Member State concerned</w:t>
      </w:r>
      <w:r w:rsidR="00AD2A6C" w:rsidRPr="00545E42">
        <w:rPr>
          <w:b/>
          <w:lang w:eastAsia="de-DE"/>
        </w:rPr>
        <w:t xml:space="preserve"> </w:t>
      </w:r>
      <w:r w:rsidRPr="00545E42">
        <w:rPr>
          <w:bCs/>
          <w:strike/>
          <w:lang w:eastAsia="de-DE"/>
        </w:rPr>
        <w:t>and comply with competition rules</w:t>
      </w:r>
      <w:r w:rsidRPr="00545E42">
        <w:rPr>
          <w:bCs/>
          <w:lang w:eastAsia="de-DE"/>
        </w:rPr>
        <w:t>.</w:t>
      </w:r>
    </w:p>
    <w:p w:rsidR="00592014" w:rsidRPr="001D3FF4" w:rsidRDefault="00592014" w:rsidP="00592014">
      <w:pPr>
        <w:rPr>
          <w:bCs/>
          <w:iCs/>
          <w:lang w:eastAsia="de-DE"/>
        </w:rPr>
      </w:pPr>
      <w:r w:rsidRPr="001D3FF4">
        <w:rPr>
          <w:lang w:eastAsia="de-DE"/>
        </w:rPr>
        <w:lastRenderedPageBreak/>
        <w:t xml:space="preserve">4. Without prejudice to paragraph 3, port infrastructure charges may vary in accordance with </w:t>
      </w:r>
      <w:r w:rsidRPr="001D3FF4">
        <w:rPr>
          <w:bCs/>
          <w:iCs/>
          <w:lang w:eastAsia="de-DE"/>
        </w:rPr>
        <w:t>the port's economic strategy and the port's spatial planning policy,</w:t>
      </w:r>
      <w:r w:rsidRPr="001D3FF4">
        <w:rPr>
          <w:lang w:eastAsia="de-DE"/>
        </w:rPr>
        <w:t xml:space="preserve"> related </w:t>
      </w:r>
      <w:r w:rsidRPr="001D3FF4">
        <w:rPr>
          <w:bCs/>
          <w:iCs/>
          <w:lang w:eastAsia="de-DE"/>
        </w:rPr>
        <w:t>inter alia to certain categories of</w:t>
      </w:r>
      <w:r w:rsidRPr="001D3FF4">
        <w:rPr>
          <w:lang w:eastAsia="de-DE"/>
        </w:rPr>
        <w:t xml:space="preserve"> users, or in order to promote a more efficient use of the port infrastructure, short sea shipping or a high environmental performance, energy efficiency or carbon efficiency of transport operations. The criteria for such a variation shall be transparent, objective and non-discriminatory </w:t>
      </w:r>
      <w:r w:rsidRPr="001D3FF4">
        <w:rPr>
          <w:iCs/>
          <w:lang w:eastAsia="de-DE"/>
        </w:rPr>
        <w:t>and shall be consistent with competition law, including rules on State aid</w:t>
      </w:r>
      <w:r w:rsidRPr="001D3FF4">
        <w:rPr>
          <w:lang w:eastAsia="de-DE"/>
        </w:rPr>
        <w:t xml:space="preserve">. </w:t>
      </w:r>
      <w:r w:rsidRPr="001D3FF4">
        <w:rPr>
          <w:bCs/>
          <w:iCs/>
          <w:lang w:eastAsia="de-DE"/>
        </w:rPr>
        <w:t xml:space="preserve">Port infrastructure charges may </w:t>
      </w:r>
      <w:r w:rsidRPr="001D3FF4">
        <w:rPr>
          <w:bCs/>
          <w:lang w:eastAsia="de-DE"/>
        </w:rPr>
        <w:t>take into account external costs and may</w:t>
      </w:r>
      <w:r w:rsidRPr="001D3FF4">
        <w:rPr>
          <w:bCs/>
          <w:iCs/>
          <w:lang w:eastAsia="de-DE"/>
        </w:rPr>
        <w:t xml:space="preserve"> vary in accordance with commercial practices.</w:t>
      </w:r>
    </w:p>
    <w:p w:rsidR="00592014" w:rsidRPr="001D3FF4" w:rsidRDefault="00592014" w:rsidP="00592014">
      <w:pPr>
        <w:rPr>
          <w:bCs/>
          <w:iCs/>
          <w:lang w:eastAsia="de-DE"/>
        </w:rPr>
      </w:pPr>
      <w:r w:rsidRPr="001D3FF4">
        <w:rPr>
          <w:lang w:eastAsia="de-DE"/>
        </w:rPr>
        <w:t xml:space="preserve">5. </w:t>
      </w:r>
      <w:r w:rsidRPr="001D3FF4">
        <w:rPr>
          <w:bCs/>
          <w:iCs/>
          <w:lang w:eastAsia="de-DE"/>
        </w:rPr>
        <w:t>[…]</w:t>
      </w:r>
    </w:p>
    <w:p w:rsidR="00592014" w:rsidRPr="001D3FF4" w:rsidRDefault="00592014" w:rsidP="00592014">
      <w:pPr>
        <w:rPr>
          <w:iCs/>
          <w:lang w:eastAsia="de-DE"/>
        </w:rPr>
      </w:pPr>
      <w:r w:rsidRPr="001D3FF4">
        <w:rPr>
          <w:lang w:eastAsia="de-DE"/>
        </w:rPr>
        <w:t xml:space="preserve">6. The managing body of the port, </w:t>
      </w:r>
      <w:r w:rsidRPr="001D3FF4">
        <w:rPr>
          <w:bCs/>
          <w:iCs/>
          <w:lang w:eastAsia="de-DE"/>
        </w:rPr>
        <w:t>or the competent authority,</w:t>
      </w:r>
      <w:r w:rsidRPr="001D3FF4">
        <w:rPr>
          <w:lang w:eastAsia="de-DE"/>
        </w:rPr>
        <w:t xml:space="preserve"> shall </w:t>
      </w:r>
      <w:r w:rsidRPr="001D3FF4">
        <w:rPr>
          <w:bCs/>
          <w:iCs/>
          <w:lang w:eastAsia="de-DE"/>
        </w:rPr>
        <w:t>ensure that</w:t>
      </w:r>
      <w:r w:rsidRPr="001D3FF4">
        <w:rPr>
          <w:lang w:eastAsia="de-DE"/>
        </w:rPr>
        <w:t xml:space="preserve"> port users and the representatives or associations of port users </w:t>
      </w:r>
      <w:r w:rsidRPr="001D3FF4">
        <w:rPr>
          <w:bCs/>
          <w:iCs/>
          <w:lang w:eastAsia="de-DE"/>
        </w:rPr>
        <w:t>are informed</w:t>
      </w:r>
      <w:r w:rsidRPr="001D3FF4">
        <w:rPr>
          <w:lang w:eastAsia="de-DE"/>
        </w:rPr>
        <w:t xml:space="preserve"> about the </w:t>
      </w:r>
      <w:r w:rsidRPr="001D3FF4">
        <w:rPr>
          <w:bCs/>
          <w:iCs/>
          <w:lang w:eastAsia="de-DE"/>
        </w:rPr>
        <w:t>nature and level</w:t>
      </w:r>
      <w:r w:rsidRPr="001D3FF4">
        <w:rPr>
          <w:lang w:eastAsia="de-DE"/>
        </w:rPr>
        <w:t xml:space="preserve"> of the port infrastructure charges. </w:t>
      </w:r>
      <w:r w:rsidRPr="001D3FF4">
        <w:rPr>
          <w:bCs/>
          <w:iCs/>
          <w:lang w:eastAsia="de-DE"/>
        </w:rPr>
        <w:t>The managing body of the port, or the competent authority, shall ensure that</w:t>
      </w:r>
      <w:r w:rsidRPr="001D3FF4">
        <w:rPr>
          <w:lang w:eastAsia="de-DE"/>
        </w:rPr>
        <w:t xml:space="preserve"> users of the port infrastructure </w:t>
      </w:r>
      <w:r w:rsidRPr="001D3FF4">
        <w:rPr>
          <w:bCs/>
          <w:iCs/>
          <w:lang w:eastAsia="de-DE"/>
        </w:rPr>
        <w:t>are informed</w:t>
      </w:r>
      <w:r w:rsidRPr="001D3FF4">
        <w:rPr>
          <w:lang w:eastAsia="de-DE"/>
        </w:rPr>
        <w:t xml:space="preserve"> of any changes in the </w:t>
      </w:r>
      <w:r w:rsidRPr="001D3FF4">
        <w:rPr>
          <w:bCs/>
          <w:iCs/>
          <w:lang w:eastAsia="de-DE"/>
        </w:rPr>
        <w:t xml:space="preserve">nature and level </w:t>
      </w:r>
      <w:r w:rsidRPr="001D3FF4">
        <w:rPr>
          <w:lang w:eastAsia="de-DE"/>
        </w:rPr>
        <w:t xml:space="preserve">of the port infrastructure charges at least </w:t>
      </w:r>
      <w:r w:rsidRPr="001D3FF4">
        <w:rPr>
          <w:bCs/>
          <w:iCs/>
          <w:lang w:eastAsia="de-DE"/>
        </w:rPr>
        <w:t xml:space="preserve">two </w:t>
      </w:r>
      <w:r w:rsidRPr="001D3FF4">
        <w:rPr>
          <w:lang w:eastAsia="de-DE"/>
        </w:rPr>
        <w:t xml:space="preserve">months in advance. </w:t>
      </w:r>
      <w:r w:rsidRPr="001D3FF4">
        <w:rPr>
          <w:iCs/>
          <w:lang w:eastAsia="de-DE"/>
        </w:rPr>
        <w:t>The managing body of the port, or the competent authority, shall not be required to disclose differentiations in the charges that are the result of individual negotiations.</w:t>
      </w:r>
    </w:p>
    <w:p w:rsidR="00592014" w:rsidRPr="001D3FF4" w:rsidRDefault="00592014" w:rsidP="00592014">
      <w:pPr>
        <w:rPr>
          <w:iCs/>
          <w:lang w:eastAsia="de-DE"/>
        </w:rPr>
      </w:pPr>
      <w:r w:rsidRPr="001D3FF4">
        <w:rPr>
          <w:lang w:eastAsia="de-DE"/>
        </w:rPr>
        <w:t>7. The managing body of the port shall</w:t>
      </w:r>
      <w:r w:rsidRPr="001D3FF4">
        <w:rPr>
          <w:iCs/>
          <w:lang w:eastAsia="de-DE"/>
        </w:rPr>
        <w:t xml:space="preserve">, </w:t>
      </w:r>
      <w:r w:rsidRPr="001D3FF4">
        <w:rPr>
          <w:lang w:eastAsia="de-DE"/>
        </w:rPr>
        <w:t xml:space="preserve">in the event of a formal complaint and </w:t>
      </w:r>
      <w:r w:rsidRPr="001D3FF4">
        <w:rPr>
          <w:iCs/>
          <w:lang w:eastAsia="de-DE"/>
        </w:rPr>
        <w:t>upon request,</w:t>
      </w:r>
      <w:r w:rsidRPr="001D3FF4">
        <w:rPr>
          <w:lang w:eastAsia="de-DE"/>
        </w:rPr>
        <w:t xml:space="preserve"> make available to the </w:t>
      </w:r>
      <w:r w:rsidRPr="001D3FF4">
        <w:rPr>
          <w:iCs/>
          <w:lang w:eastAsia="de-DE"/>
        </w:rPr>
        <w:t xml:space="preserve">relevant authority in the Member State concerned </w:t>
      </w:r>
      <w:r w:rsidRPr="001D3FF4">
        <w:rPr>
          <w:lang w:eastAsia="de-DE"/>
        </w:rPr>
        <w:t>the information referred to in paragraph</w:t>
      </w:r>
      <w:r w:rsidRPr="001D3FF4">
        <w:rPr>
          <w:iCs/>
          <w:lang w:eastAsia="de-DE"/>
        </w:rPr>
        <w:t>s</w:t>
      </w:r>
      <w:r w:rsidRPr="001D3FF4">
        <w:rPr>
          <w:lang w:eastAsia="de-DE"/>
        </w:rPr>
        <w:t xml:space="preserve"> 4 </w:t>
      </w:r>
      <w:r w:rsidRPr="001D3FF4">
        <w:rPr>
          <w:iCs/>
          <w:lang w:eastAsia="de-DE"/>
        </w:rPr>
        <w:t xml:space="preserve">and 6 </w:t>
      </w:r>
      <w:r w:rsidRPr="001D3FF4">
        <w:rPr>
          <w:lang w:eastAsia="de-DE"/>
        </w:rPr>
        <w:t xml:space="preserve">and </w:t>
      </w:r>
      <w:r w:rsidRPr="001D3FF4">
        <w:rPr>
          <w:iCs/>
          <w:lang w:eastAsia="de-DE"/>
        </w:rPr>
        <w:t>any relevant</w:t>
      </w:r>
      <w:r w:rsidRPr="001D3FF4">
        <w:rPr>
          <w:lang w:eastAsia="de-DE"/>
        </w:rPr>
        <w:t xml:space="preserve"> information on the elements serving as a basis to determine the structure and the level of the port infrastructure charges. </w:t>
      </w:r>
      <w:r w:rsidRPr="001D3FF4">
        <w:rPr>
          <w:iCs/>
          <w:lang w:eastAsia="de-DE"/>
        </w:rPr>
        <w:t>Such information shall be made available to the Commission by the national authority upon request.</w:t>
      </w:r>
    </w:p>
    <w:p w:rsidR="00592014" w:rsidRPr="001D3FF4" w:rsidRDefault="00592014" w:rsidP="00592014">
      <w:pPr>
        <w:jc w:val="center"/>
        <w:rPr>
          <w:bCs/>
        </w:rPr>
      </w:pPr>
      <w:r w:rsidRPr="001D3FF4">
        <w:rPr>
          <w:bCs/>
        </w:rPr>
        <w:br w:type="page"/>
      </w:r>
      <w:r w:rsidRPr="001D3FF4">
        <w:rPr>
          <w:bCs/>
        </w:rPr>
        <w:lastRenderedPageBreak/>
        <w:t>CHAPTER IV – General and final provisions</w:t>
      </w:r>
    </w:p>
    <w:p w:rsidR="008006E7" w:rsidRPr="001D3FF4" w:rsidRDefault="00AD2A6C" w:rsidP="008006E7">
      <w:pPr>
        <w:jc w:val="center"/>
        <w:rPr>
          <w:lang w:eastAsia="de-DE"/>
        </w:rPr>
      </w:pPr>
      <w:r w:rsidRPr="00AD2A6C">
        <w:rPr>
          <w:strike/>
          <w:lang w:eastAsia="de-DE"/>
        </w:rPr>
        <w:t>Article 10a</w:t>
      </w:r>
      <w:r w:rsidRPr="00AD2A6C">
        <w:rPr>
          <w:b/>
          <w:bCs/>
          <w:lang w:eastAsia="de-DE"/>
        </w:rPr>
        <w:t xml:space="preserve"> </w:t>
      </w:r>
      <w:r w:rsidR="008006E7" w:rsidRPr="00AD2A6C">
        <w:rPr>
          <w:b/>
          <w:bCs/>
          <w:u w:val="single"/>
          <w:lang w:eastAsia="de-DE"/>
        </w:rPr>
        <w:t>Article 14a</w:t>
      </w:r>
      <w:r w:rsidR="008006E7" w:rsidRPr="001D3FF4">
        <w:rPr>
          <w:rStyle w:val="Fotnotereferanse"/>
          <w:lang w:eastAsia="de-DE"/>
        </w:rPr>
        <w:footnoteReference w:customMarkFollows="1" w:id="24"/>
        <w:sym w:font="Symbol" w:char="F02A"/>
      </w:r>
    </w:p>
    <w:p w:rsidR="008006E7" w:rsidRPr="001D3FF4" w:rsidRDefault="008006E7" w:rsidP="008006E7">
      <w:pPr>
        <w:jc w:val="center"/>
        <w:rPr>
          <w:lang w:eastAsia="de-DE"/>
        </w:rPr>
      </w:pPr>
      <w:r w:rsidRPr="001D3FF4">
        <w:rPr>
          <w:lang w:eastAsia="de-DE"/>
        </w:rPr>
        <w:t>Training of staff</w:t>
      </w:r>
    </w:p>
    <w:p w:rsidR="008006E7" w:rsidRPr="001D3FF4" w:rsidRDefault="008006E7" w:rsidP="008006E7">
      <w:pPr>
        <w:rPr>
          <w:b/>
          <w:lang w:eastAsia="de-DE"/>
        </w:rPr>
      </w:pPr>
      <w:r w:rsidRPr="001D3FF4">
        <w:rPr>
          <w:bCs/>
          <w:lang w:eastAsia="de-DE"/>
        </w:rPr>
        <w:t>Providers of port services shall ensure that employees receive the necessary training to acquire the knowledge which is essential for their work, with specific attention for health and safety aspects</w:t>
      </w:r>
      <w:r w:rsidRPr="00AD2A6C">
        <w:rPr>
          <w:b/>
          <w:u w:val="single"/>
          <w:lang w:eastAsia="de-DE"/>
        </w:rPr>
        <w:t>,</w:t>
      </w:r>
      <w:r w:rsidRPr="001D3FF4">
        <w:rPr>
          <w:b/>
          <w:lang w:eastAsia="de-DE"/>
        </w:rPr>
        <w:t xml:space="preserve"> </w:t>
      </w:r>
      <w:r w:rsidRPr="001D3FF4">
        <w:rPr>
          <w:b/>
          <w:u w:val="single"/>
          <w:lang w:eastAsia="de-DE"/>
        </w:rPr>
        <w:t>and that training requirements are regularly updated to meet the challenges of technological innovation</w:t>
      </w:r>
      <w:r w:rsidRPr="001D3FF4">
        <w:rPr>
          <w:bCs/>
          <w:lang w:eastAsia="de-DE"/>
        </w:rPr>
        <w:t>.</w:t>
      </w:r>
      <w:r w:rsidRPr="001D3FF4">
        <w:rPr>
          <w:rStyle w:val="Fotnotereferanse"/>
          <w:bCs/>
          <w:lang w:eastAsia="de-DE"/>
        </w:rPr>
        <w:footnoteReference w:id="25"/>
      </w:r>
      <w:r w:rsidRPr="001D3FF4">
        <w:rPr>
          <w:b/>
          <w:lang w:eastAsia="de-DE"/>
        </w:rPr>
        <w:t xml:space="preserve"> </w:t>
      </w:r>
      <w:r w:rsidRPr="001D3FF4">
        <w:rPr>
          <w:rStyle w:val="Fotnotereferanse"/>
          <w:bCs/>
        </w:rPr>
        <w:footnoteReference w:id="26"/>
      </w:r>
      <w:r w:rsidRPr="001D3FF4">
        <w:rPr>
          <w:bCs/>
        </w:rPr>
        <w:t xml:space="preserve"> </w:t>
      </w:r>
      <w:r w:rsidRPr="001D3FF4">
        <w:rPr>
          <w:rStyle w:val="Fotnotereferanse"/>
          <w:bCs/>
        </w:rPr>
        <w:footnoteReference w:id="27"/>
      </w:r>
    </w:p>
    <w:p w:rsidR="00592014" w:rsidRPr="001D3FF4" w:rsidRDefault="00674219" w:rsidP="00592014">
      <w:pPr>
        <w:pStyle w:val="Normal6"/>
        <w:spacing w:after="0" w:line="360" w:lineRule="auto"/>
        <w:jc w:val="center"/>
        <w:rPr>
          <w:lang w:eastAsia="de-DE"/>
        </w:rPr>
      </w:pPr>
      <w:r>
        <w:rPr>
          <w:lang w:eastAsia="de-DE"/>
        </w:rPr>
        <w:br w:type="page"/>
      </w:r>
      <w:r w:rsidR="00592014" w:rsidRPr="001D3FF4">
        <w:rPr>
          <w:lang w:eastAsia="de-DE"/>
        </w:rPr>
        <w:lastRenderedPageBreak/>
        <w:t>Article 15</w:t>
      </w:r>
    </w:p>
    <w:p w:rsidR="00592014" w:rsidRPr="001D3FF4" w:rsidRDefault="00592014" w:rsidP="00592014">
      <w:pPr>
        <w:jc w:val="center"/>
        <w:rPr>
          <w:bCs/>
          <w:iCs/>
          <w:lang w:eastAsia="de-DE"/>
        </w:rPr>
      </w:pPr>
      <w:r w:rsidRPr="001D3FF4">
        <w:rPr>
          <w:lang w:eastAsia="de-DE"/>
        </w:rPr>
        <w:t xml:space="preserve">Consultation of port users </w:t>
      </w:r>
      <w:r w:rsidRPr="001D3FF4">
        <w:rPr>
          <w:bCs/>
          <w:iCs/>
          <w:lang w:eastAsia="de-DE"/>
        </w:rPr>
        <w:t>and other stakeholders</w:t>
      </w:r>
    </w:p>
    <w:p w:rsidR="00592014" w:rsidRPr="001D3FF4" w:rsidRDefault="00592014" w:rsidP="00592014">
      <w:pPr>
        <w:rPr>
          <w:bCs/>
          <w:iCs/>
          <w:lang w:eastAsia="de-DE"/>
        </w:rPr>
      </w:pPr>
      <w:r w:rsidRPr="001D3FF4">
        <w:rPr>
          <w:lang w:eastAsia="de-DE"/>
        </w:rPr>
        <w:t xml:space="preserve">1. </w:t>
      </w:r>
      <w:r w:rsidRPr="001D3FF4">
        <w:rPr>
          <w:bCs/>
          <w:iCs/>
          <w:lang w:eastAsia="de-DE"/>
        </w:rPr>
        <w:t>[…]</w:t>
      </w:r>
    </w:p>
    <w:p w:rsidR="00592014" w:rsidRPr="001D3FF4" w:rsidRDefault="00592014" w:rsidP="00592014">
      <w:pPr>
        <w:rPr>
          <w:b/>
          <w:iCs/>
        </w:rPr>
      </w:pPr>
      <w:r w:rsidRPr="001D3FF4">
        <w:rPr>
          <w:bCs/>
        </w:rPr>
        <w:t>1a. The managing body of the port shall, in accordance with any applicable</w:t>
      </w:r>
      <w:r w:rsidRPr="001D3FF4">
        <w:rPr>
          <w:b/>
        </w:rPr>
        <w:t xml:space="preserve"> </w:t>
      </w:r>
      <w:r w:rsidRPr="001D3FF4">
        <w:rPr>
          <w:bCs/>
        </w:rPr>
        <w:t>national law, consult port users on its charging policy, including in cases covered by Article 9. Such consultation shall</w:t>
      </w:r>
      <w:r w:rsidRPr="001D3FF4">
        <w:rPr>
          <w:b/>
        </w:rPr>
        <w:t xml:space="preserve"> </w:t>
      </w:r>
      <w:r w:rsidRPr="001D3FF4">
        <w:rPr>
          <w:bCs/>
        </w:rPr>
        <w:t>include substantial changes to the port infrastructure charges and port service charges in case of internal operators providing port services under public service obligations</w:t>
      </w:r>
      <w:r w:rsidRPr="001D3FF4">
        <w:rPr>
          <w:bCs/>
          <w:i/>
        </w:rPr>
        <w:t xml:space="preserve">. </w:t>
      </w:r>
    </w:p>
    <w:p w:rsidR="00592014" w:rsidRPr="001D3FF4" w:rsidRDefault="00592014" w:rsidP="00592014">
      <w:pPr>
        <w:pStyle w:val="Listeavsnitt"/>
        <w:spacing w:after="240" w:line="360" w:lineRule="auto"/>
        <w:ind w:left="0"/>
        <w:rPr>
          <w:bCs/>
          <w:lang w:val="en-GB"/>
        </w:rPr>
      </w:pPr>
      <w:r w:rsidRPr="001D3FF4">
        <w:rPr>
          <w:bCs/>
          <w:lang w:val="en-GB"/>
        </w:rPr>
        <w:t>2. The managing body of the port shall, in accordance with any applicable national law, consult port users and other relevant stakeholders on essential matters within its competence regarding:</w:t>
      </w:r>
    </w:p>
    <w:p w:rsidR="00592014" w:rsidRPr="001D3FF4" w:rsidRDefault="00592014" w:rsidP="00592014">
      <w:pPr>
        <w:pStyle w:val="Listeavsnitt"/>
        <w:spacing w:after="240" w:line="360" w:lineRule="auto"/>
        <w:ind w:left="0"/>
        <w:rPr>
          <w:bCs/>
          <w:strike/>
          <w:lang w:val="en-GB"/>
        </w:rPr>
      </w:pPr>
    </w:p>
    <w:p w:rsidR="00592014" w:rsidRPr="001D3FF4" w:rsidRDefault="00592014" w:rsidP="00592014">
      <w:pPr>
        <w:pStyle w:val="Listeavsnitt"/>
        <w:spacing w:line="360" w:lineRule="auto"/>
        <w:ind w:left="0"/>
        <w:rPr>
          <w:bCs/>
          <w:lang w:val="en-GB"/>
        </w:rPr>
      </w:pPr>
      <w:r w:rsidRPr="001D3FF4">
        <w:rPr>
          <w:bCs/>
          <w:lang w:val="en-GB"/>
        </w:rPr>
        <w:t xml:space="preserve">(a) </w:t>
      </w:r>
      <w:r w:rsidRPr="001D3FF4">
        <w:rPr>
          <w:bCs/>
          <w:lang w:val="en-GB"/>
        </w:rPr>
        <w:tab/>
        <w:t>the coordination of port services within the port area;</w:t>
      </w:r>
    </w:p>
    <w:p w:rsidR="00592014" w:rsidRPr="001D3FF4" w:rsidRDefault="00592014" w:rsidP="00592014">
      <w:pPr>
        <w:pStyle w:val="Listeavsnitt"/>
        <w:spacing w:line="360" w:lineRule="auto"/>
        <w:ind w:left="360"/>
        <w:rPr>
          <w:bCs/>
          <w:lang w:val="en-GB"/>
        </w:rPr>
      </w:pPr>
    </w:p>
    <w:p w:rsidR="00592014" w:rsidRPr="001D3FF4" w:rsidRDefault="00592014" w:rsidP="00592014">
      <w:pPr>
        <w:pStyle w:val="Listeavsnitt"/>
        <w:spacing w:line="360" w:lineRule="auto"/>
        <w:ind w:left="0"/>
        <w:rPr>
          <w:bCs/>
          <w:lang w:val="en-GB"/>
        </w:rPr>
      </w:pPr>
      <w:r w:rsidRPr="001D3FF4">
        <w:rPr>
          <w:bCs/>
          <w:lang w:val="en-GB"/>
        </w:rPr>
        <w:t xml:space="preserve">(b) </w:t>
      </w:r>
      <w:r w:rsidRPr="001D3FF4">
        <w:rPr>
          <w:bCs/>
          <w:lang w:val="en-GB"/>
        </w:rPr>
        <w:tab/>
        <w:t>measures to improve connections within the hinterland, including measures to develop and improve the efficiency of rail and inland waterways transport;</w:t>
      </w:r>
    </w:p>
    <w:p w:rsidR="00592014" w:rsidRPr="001D3FF4" w:rsidRDefault="00592014" w:rsidP="00592014">
      <w:pPr>
        <w:pStyle w:val="Listeavsnitt"/>
        <w:spacing w:line="360" w:lineRule="auto"/>
        <w:ind w:left="0"/>
        <w:rPr>
          <w:bCs/>
          <w:lang w:val="en-GB"/>
        </w:rPr>
      </w:pPr>
    </w:p>
    <w:p w:rsidR="00592014" w:rsidRPr="001D3FF4" w:rsidRDefault="00592014" w:rsidP="00592014">
      <w:pPr>
        <w:pStyle w:val="Listeavsnitt"/>
        <w:spacing w:line="360" w:lineRule="auto"/>
        <w:ind w:left="0"/>
        <w:rPr>
          <w:bCs/>
          <w:lang w:val="en-GB"/>
        </w:rPr>
      </w:pPr>
      <w:r w:rsidRPr="001D3FF4">
        <w:rPr>
          <w:bCs/>
          <w:lang w:val="en-GB"/>
        </w:rPr>
        <w:t>(c)</w:t>
      </w:r>
      <w:r w:rsidRPr="001D3FF4">
        <w:rPr>
          <w:bCs/>
          <w:lang w:val="en-GB"/>
        </w:rPr>
        <w:tab/>
        <w:t>the efficiency of administrative procedures in the port and measures to simplify them;</w:t>
      </w:r>
    </w:p>
    <w:p w:rsidR="00592014" w:rsidRPr="001D3FF4" w:rsidRDefault="00592014" w:rsidP="00592014">
      <w:pPr>
        <w:pStyle w:val="Listeavsnitt"/>
        <w:spacing w:line="360" w:lineRule="auto"/>
        <w:ind w:left="0"/>
        <w:rPr>
          <w:bCs/>
          <w:lang w:val="en-GB"/>
        </w:rPr>
      </w:pPr>
    </w:p>
    <w:p w:rsidR="00592014" w:rsidRPr="001D3FF4" w:rsidRDefault="00592014" w:rsidP="00592014">
      <w:pPr>
        <w:pStyle w:val="Listeavsnitt"/>
        <w:spacing w:line="360" w:lineRule="auto"/>
        <w:ind w:left="0"/>
        <w:rPr>
          <w:bCs/>
          <w:lang w:val="en-GB"/>
        </w:rPr>
      </w:pPr>
      <w:r w:rsidRPr="001D3FF4">
        <w:rPr>
          <w:bCs/>
          <w:lang w:val="en-GB"/>
        </w:rPr>
        <w:t>(d)</w:t>
      </w:r>
      <w:r w:rsidRPr="001D3FF4">
        <w:rPr>
          <w:bCs/>
          <w:lang w:val="en-GB"/>
        </w:rPr>
        <w:tab/>
        <w:t>environmental matters;</w:t>
      </w:r>
    </w:p>
    <w:p w:rsidR="00592014" w:rsidRPr="001D3FF4" w:rsidRDefault="00592014" w:rsidP="00592014">
      <w:pPr>
        <w:pStyle w:val="Listeavsnitt"/>
        <w:spacing w:line="360" w:lineRule="auto"/>
        <w:ind w:left="0"/>
        <w:rPr>
          <w:bCs/>
          <w:lang w:val="en-GB"/>
        </w:rPr>
      </w:pPr>
    </w:p>
    <w:p w:rsidR="00592014" w:rsidRPr="001D3FF4" w:rsidRDefault="00592014" w:rsidP="00592014">
      <w:pPr>
        <w:pStyle w:val="Listeavsnitt"/>
        <w:spacing w:line="360" w:lineRule="auto"/>
        <w:ind w:left="0"/>
        <w:rPr>
          <w:bCs/>
          <w:lang w:val="en-GB"/>
        </w:rPr>
      </w:pPr>
      <w:r w:rsidRPr="001D3FF4">
        <w:rPr>
          <w:bCs/>
          <w:lang w:val="en-GB"/>
        </w:rPr>
        <w:t>(e)</w:t>
      </w:r>
      <w:r w:rsidRPr="001D3FF4">
        <w:rPr>
          <w:bCs/>
          <w:lang w:val="en-GB"/>
        </w:rPr>
        <w:tab/>
        <w:t>spatial planning; and</w:t>
      </w:r>
    </w:p>
    <w:p w:rsidR="00592014" w:rsidRPr="001D3FF4" w:rsidRDefault="00592014" w:rsidP="00592014">
      <w:pPr>
        <w:rPr>
          <w:bCs/>
        </w:rPr>
      </w:pPr>
      <w:r w:rsidRPr="001D3FF4">
        <w:rPr>
          <w:bCs/>
        </w:rPr>
        <w:t>(f)</w:t>
      </w:r>
      <w:r w:rsidRPr="001D3FF4">
        <w:rPr>
          <w:bCs/>
        </w:rPr>
        <w:tab/>
        <w:t xml:space="preserve">measures to ensure safety in the port area, including, </w:t>
      </w:r>
      <w:r w:rsidRPr="001D3FF4">
        <w:t>where appropriate</w:t>
      </w:r>
      <w:r w:rsidRPr="001D3FF4">
        <w:rPr>
          <w:bCs/>
        </w:rPr>
        <w:t>, health and safety of port workers.</w:t>
      </w:r>
    </w:p>
    <w:p w:rsidR="00592014" w:rsidRPr="001D3FF4" w:rsidRDefault="00592014" w:rsidP="00592014">
      <w:pPr>
        <w:rPr>
          <w:bCs/>
        </w:rPr>
      </w:pPr>
      <w:r w:rsidRPr="001D3FF4">
        <w:rPr>
          <w:bCs/>
        </w:rPr>
        <w:t>2a. The providers of port services shall make available to port users adequate information about the nature and level of the port service charges.</w:t>
      </w:r>
    </w:p>
    <w:p w:rsidR="00592014" w:rsidRPr="001D3FF4" w:rsidRDefault="00592014" w:rsidP="008006E7">
      <w:pPr>
        <w:rPr>
          <w:b/>
        </w:rPr>
      </w:pPr>
      <w:r w:rsidRPr="001D3FF4">
        <w:rPr>
          <w:bCs/>
        </w:rPr>
        <w:t>2b. The managing body of the port and providers of port services shall respect the confidentiality of commercially sensitive information when carrying out their obligations under this Article.</w:t>
      </w:r>
    </w:p>
    <w:p w:rsidR="00592014" w:rsidRPr="001D3FF4" w:rsidRDefault="00592014" w:rsidP="00592014">
      <w:pPr>
        <w:jc w:val="center"/>
        <w:rPr>
          <w:bCs/>
          <w:iCs/>
          <w:lang w:val="fr-BE"/>
        </w:rPr>
      </w:pPr>
      <w:r w:rsidRPr="001D3FF4">
        <w:rPr>
          <w:bCs/>
          <w:iCs/>
          <w:lang w:val="fr-BE"/>
        </w:rPr>
        <w:br w:type="page"/>
      </w:r>
      <w:r w:rsidRPr="001D3FF4">
        <w:rPr>
          <w:bCs/>
          <w:iCs/>
          <w:lang w:val="fr-BE"/>
        </w:rPr>
        <w:lastRenderedPageBreak/>
        <w:t>Article 16</w:t>
      </w:r>
    </w:p>
    <w:p w:rsidR="00592014" w:rsidRPr="001D3FF4" w:rsidRDefault="00592014" w:rsidP="00592014">
      <w:pPr>
        <w:jc w:val="center"/>
        <w:rPr>
          <w:bCs/>
          <w:iCs/>
          <w:lang w:val="fr-BE"/>
        </w:rPr>
      </w:pPr>
      <w:r w:rsidRPr="001D3FF4">
        <w:rPr>
          <w:bCs/>
          <w:iCs/>
          <w:lang w:val="fr-BE"/>
        </w:rPr>
        <w:t>[…]</w:t>
      </w:r>
    </w:p>
    <w:p w:rsidR="00592014" w:rsidRPr="001D3FF4" w:rsidRDefault="00592014" w:rsidP="00592014">
      <w:pPr>
        <w:rPr>
          <w:bCs/>
          <w:iCs/>
          <w:lang w:val="fr-BE"/>
        </w:rPr>
      </w:pPr>
      <w:r w:rsidRPr="001D3FF4">
        <w:rPr>
          <w:bCs/>
          <w:iCs/>
          <w:lang w:val="fr-BE"/>
        </w:rPr>
        <w:t>1. […]</w:t>
      </w:r>
    </w:p>
    <w:p w:rsidR="00592014" w:rsidRPr="001D3FF4" w:rsidRDefault="00592014" w:rsidP="00592014">
      <w:pPr>
        <w:rPr>
          <w:bCs/>
          <w:iCs/>
          <w:lang w:val="fr-BE"/>
        </w:rPr>
      </w:pPr>
      <w:r w:rsidRPr="001D3FF4">
        <w:rPr>
          <w:bCs/>
          <w:iCs/>
          <w:lang w:val="fr-BE"/>
        </w:rPr>
        <w:t>(a) […]</w:t>
      </w:r>
    </w:p>
    <w:p w:rsidR="00592014" w:rsidRPr="001D3FF4" w:rsidRDefault="00592014" w:rsidP="00592014">
      <w:pPr>
        <w:rPr>
          <w:bCs/>
          <w:iCs/>
          <w:lang w:val="fr-BE"/>
        </w:rPr>
      </w:pPr>
      <w:r w:rsidRPr="001D3FF4">
        <w:rPr>
          <w:bCs/>
          <w:iCs/>
          <w:lang w:val="fr-BE"/>
        </w:rPr>
        <w:t>(b) […]</w:t>
      </w:r>
    </w:p>
    <w:p w:rsidR="00592014" w:rsidRPr="001D3FF4" w:rsidRDefault="00592014" w:rsidP="00592014">
      <w:pPr>
        <w:rPr>
          <w:bCs/>
          <w:iCs/>
          <w:lang w:val="fr-BE"/>
        </w:rPr>
      </w:pPr>
      <w:r w:rsidRPr="001D3FF4">
        <w:rPr>
          <w:bCs/>
          <w:iCs/>
          <w:lang w:val="fr-BE"/>
        </w:rPr>
        <w:t>(c) […]</w:t>
      </w:r>
    </w:p>
    <w:p w:rsidR="00592014" w:rsidRPr="001D3FF4" w:rsidRDefault="00592014" w:rsidP="00592014">
      <w:pPr>
        <w:pStyle w:val="Normal6"/>
        <w:spacing w:after="0" w:line="360" w:lineRule="auto"/>
        <w:jc w:val="center"/>
        <w:rPr>
          <w:lang w:val="fr-BE" w:eastAsia="de-DE"/>
        </w:rPr>
      </w:pPr>
      <w:r w:rsidRPr="001D3FF4">
        <w:rPr>
          <w:lang w:val="fr-BE" w:eastAsia="de-DE"/>
        </w:rPr>
        <w:t>Article 17</w:t>
      </w:r>
    </w:p>
    <w:p w:rsidR="00592014" w:rsidRPr="001D3FF4" w:rsidRDefault="00592014" w:rsidP="00592014">
      <w:pPr>
        <w:jc w:val="center"/>
        <w:rPr>
          <w:bCs/>
          <w:iCs/>
          <w:lang w:eastAsia="de-DE"/>
        </w:rPr>
      </w:pPr>
      <w:r w:rsidRPr="001D3FF4">
        <w:rPr>
          <w:bCs/>
          <w:iCs/>
          <w:lang w:eastAsia="de-DE"/>
        </w:rPr>
        <w:t>Handling of complaints</w:t>
      </w:r>
    </w:p>
    <w:p w:rsidR="00592014" w:rsidRPr="001D3FF4" w:rsidRDefault="00592014" w:rsidP="00592014">
      <w:pPr>
        <w:rPr>
          <w:lang w:eastAsia="de-DE"/>
        </w:rPr>
      </w:pPr>
      <w:r w:rsidRPr="001D3FF4">
        <w:rPr>
          <w:lang w:eastAsia="de-DE"/>
        </w:rPr>
        <w:t xml:space="preserve">1. Member States shall ensure that an </w:t>
      </w:r>
      <w:r w:rsidRPr="001D3FF4">
        <w:rPr>
          <w:bCs/>
          <w:iCs/>
          <w:lang w:eastAsia="de-DE"/>
        </w:rPr>
        <w:t>effective mechanism is in place to handle complaints arising from</w:t>
      </w:r>
      <w:r w:rsidRPr="001D3FF4">
        <w:rPr>
          <w:lang w:eastAsia="de-DE"/>
        </w:rPr>
        <w:t xml:space="preserve"> the application of this Regulation </w:t>
      </w:r>
      <w:r w:rsidRPr="001D3FF4">
        <w:rPr>
          <w:iCs/>
          <w:lang w:eastAsia="de-DE"/>
        </w:rPr>
        <w:t>for</w:t>
      </w:r>
      <w:r w:rsidRPr="001D3FF4">
        <w:rPr>
          <w:lang w:eastAsia="de-DE"/>
        </w:rPr>
        <w:t xml:space="preserve"> all the </w:t>
      </w:r>
      <w:r w:rsidRPr="001D3FF4">
        <w:rPr>
          <w:iCs/>
          <w:lang w:eastAsia="de-DE"/>
        </w:rPr>
        <w:t>maritime</w:t>
      </w:r>
      <w:r w:rsidRPr="001D3FF4">
        <w:rPr>
          <w:lang w:eastAsia="de-DE"/>
        </w:rPr>
        <w:t xml:space="preserve"> ports</w:t>
      </w:r>
      <w:r w:rsidRPr="001D3FF4">
        <w:rPr>
          <w:bCs/>
          <w:lang w:eastAsia="de-DE"/>
        </w:rPr>
        <w:t xml:space="preserve"> </w:t>
      </w:r>
      <w:r w:rsidRPr="001D3FF4">
        <w:rPr>
          <w:lang w:eastAsia="de-DE"/>
        </w:rPr>
        <w:t>covered by this Regulation on the territory of each Member State.</w:t>
      </w:r>
    </w:p>
    <w:p w:rsidR="00592014" w:rsidRPr="001D3FF4" w:rsidRDefault="00592014" w:rsidP="00592014">
      <w:pPr>
        <w:rPr>
          <w:lang w:eastAsia="de-DE"/>
        </w:rPr>
      </w:pPr>
      <w:r w:rsidRPr="001D3FF4">
        <w:rPr>
          <w:lang w:eastAsia="de-DE"/>
        </w:rPr>
        <w:t xml:space="preserve">2. </w:t>
      </w:r>
      <w:r w:rsidRPr="001D3FF4">
        <w:rPr>
          <w:bCs/>
          <w:iCs/>
          <w:lang w:eastAsia="de-DE"/>
        </w:rPr>
        <w:t xml:space="preserve">The handling of complaints shall be carried out in a manner which excludes conflicts of interest and which is </w:t>
      </w:r>
      <w:r w:rsidRPr="001D3FF4">
        <w:rPr>
          <w:lang w:eastAsia="de-DE"/>
        </w:rPr>
        <w:t xml:space="preserve">functionally independent of any managing body of the port or providers of port services. Member States shall ensure </w:t>
      </w:r>
      <w:r w:rsidRPr="001D3FF4">
        <w:rPr>
          <w:bCs/>
          <w:iCs/>
          <w:lang w:eastAsia="de-DE"/>
        </w:rPr>
        <w:t>that there is</w:t>
      </w:r>
      <w:r w:rsidRPr="001D3FF4">
        <w:rPr>
          <w:bCs/>
          <w:lang w:eastAsia="de-DE"/>
        </w:rPr>
        <w:t xml:space="preserve"> </w:t>
      </w:r>
      <w:r w:rsidRPr="001D3FF4">
        <w:rPr>
          <w:lang w:eastAsia="de-DE"/>
        </w:rPr>
        <w:t xml:space="preserve">effective </w:t>
      </w:r>
      <w:r w:rsidRPr="001D3FF4">
        <w:rPr>
          <w:bCs/>
          <w:iCs/>
          <w:lang w:eastAsia="de-DE"/>
        </w:rPr>
        <w:t>functional</w:t>
      </w:r>
      <w:r w:rsidRPr="001D3FF4">
        <w:rPr>
          <w:bCs/>
          <w:lang w:eastAsia="de-DE"/>
        </w:rPr>
        <w:t xml:space="preserve"> </w:t>
      </w:r>
      <w:r w:rsidRPr="001D3FF4">
        <w:rPr>
          <w:lang w:eastAsia="de-DE"/>
        </w:rPr>
        <w:t xml:space="preserve">separation between the </w:t>
      </w:r>
      <w:r w:rsidRPr="001D3FF4">
        <w:rPr>
          <w:bCs/>
          <w:iCs/>
          <w:lang w:eastAsia="de-DE"/>
        </w:rPr>
        <w:t>handling of complaints on the one hand and the ownership and management of ports, provision of port services and port use on the other hand</w:t>
      </w:r>
      <w:r w:rsidRPr="001D3FF4">
        <w:rPr>
          <w:lang w:eastAsia="de-DE"/>
        </w:rPr>
        <w:t xml:space="preserve">. </w:t>
      </w:r>
      <w:r w:rsidRPr="001D3FF4">
        <w:rPr>
          <w:bCs/>
          <w:iCs/>
          <w:lang w:eastAsia="de-DE"/>
        </w:rPr>
        <w:t>The handling of complaints shall be impartial and transparent and shall duly respect</w:t>
      </w:r>
      <w:r w:rsidRPr="001D3FF4">
        <w:rPr>
          <w:lang w:eastAsia="de-DE"/>
        </w:rPr>
        <w:t xml:space="preserve"> the right to freely conduct business.</w:t>
      </w:r>
    </w:p>
    <w:p w:rsidR="00592014" w:rsidRPr="001D3FF4" w:rsidRDefault="00592014" w:rsidP="00592014">
      <w:pPr>
        <w:rPr>
          <w:bCs/>
          <w:iCs/>
          <w:lang w:eastAsia="de-DE"/>
        </w:rPr>
      </w:pPr>
      <w:r w:rsidRPr="001D3FF4">
        <w:rPr>
          <w:bCs/>
          <w:lang w:eastAsia="de-DE"/>
        </w:rPr>
        <w:t xml:space="preserve">3. </w:t>
      </w:r>
      <w:r w:rsidRPr="001D3FF4">
        <w:rPr>
          <w:lang w:eastAsia="de-DE"/>
        </w:rPr>
        <w:t xml:space="preserve">Complaints shall be filed in the Member State of the port where the dispute is presumed to have its origin. </w:t>
      </w:r>
      <w:r w:rsidRPr="001D3FF4">
        <w:rPr>
          <w:bCs/>
          <w:iCs/>
          <w:lang w:eastAsia="de-DE"/>
        </w:rPr>
        <w:t>Member States shall ensure that port users and other relevant stakeholders are informed of where and how to lodge a complaint, including an indication of the authorities responsible for the handling of complaints.</w:t>
      </w:r>
    </w:p>
    <w:p w:rsidR="00592014" w:rsidRPr="001D3FF4" w:rsidRDefault="00592014" w:rsidP="00592014">
      <w:r w:rsidRPr="001D3FF4">
        <w:t>4. The authorities responsible for handling complaints</w:t>
      </w:r>
      <w:r w:rsidRPr="001D3FF4">
        <w:rPr>
          <w:i/>
        </w:rPr>
        <w:t xml:space="preserve"> </w:t>
      </w:r>
      <w:r w:rsidRPr="001D3FF4">
        <w:t>shall, where appropriate, cooperate for the purposes of mutual assistance in disputes involving parties established in different Member States.</w:t>
      </w:r>
    </w:p>
    <w:p w:rsidR="00592014" w:rsidRPr="001D3FF4" w:rsidRDefault="00592014" w:rsidP="00592014">
      <w:pPr>
        <w:rPr>
          <w:iCs/>
        </w:rPr>
      </w:pPr>
      <w:r w:rsidRPr="001D3FF4">
        <w:rPr>
          <w:iCs/>
        </w:rPr>
        <w:t>5. The authorities responsible for the handling of complaints shall, in accordance with national law, have the power to require managing bodies of the ports, providers of port services and port users to provide information relevant to a complaint.</w:t>
      </w:r>
    </w:p>
    <w:p w:rsidR="00592014" w:rsidRPr="001D3FF4" w:rsidRDefault="00592014" w:rsidP="00592014">
      <w:pPr>
        <w:rPr>
          <w:bCs/>
          <w:iCs/>
          <w:lang w:eastAsia="de-DE"/>
        </w:rPr>
      </w:pPr>
      <w:r w:rsidRPr="001D3FF4">
        <w:rPr>
          <w:lang w:eastAsia="de-DE"/>
        </w:rPr>
        <w:lastRenderedPageBreak/>
        <w:t xml:space="preserve">6. </w:t>
      </w:r>
      <w:r w:rsidRPr="001D3FF4">
        <w:rPr>
          <w:bCs/>
          <w:iCs/>
          <w:lang w:eastAsia="de-DE"/>
        </w:rPr>
        <w:t>[…]</w:t>
      </w:r>
    </w:p>
    <w:p w:rsidR="00592014" w:rsidRPr="001D3FF4" w:rsidRDefault="00592014" w:rsidP="00592014">
      <w:pPr>
        <w:rPr>
          <w:bCs/>
          <w:iCs/>
          <w:lang w:eastAsia="de-DE"/>
        </w:rPr>
      </w:pPr>
      <w:r w:rsidRPr="001D3FF4">
        <w:rPr>
          <w:lang w:eastAsia="de-DE"/>
        </w:rPr>
        <w:t xml:space="preserve">7. </w:t>
      </w:r>
      <w:r w:rsidRPr="001D3FF4">
        <w:rPr>
          <w:bCs/>
          <w:iCs/>
          <w:lang w:eastAsia="de-DE"/>
        </w:rPr>
        <w:t>[…]</w:t>
      </w:r>
    </w:p>
    <w:p w:rsidR="00592014" w:rsidRPr="001D3FF4" w:rsidRDefault="00592014" w:rsidP="00592014">
      <w:pPr>
        <w:rPr>
          <w:bCs/>
          <w:iCs/>
          <w:lang w:eastAsia="de-DE"/>
        </w:rPr>
      </w:pPr>
      <w:r w:rsidRPr="001D3FF4">
        <w:rPr>
          <w:bCs/>
          <w:lang w:eastAsia="de-DE"/>
        </w:rPr>
        <w:t>8. The authorities responsible for the handling of complaints shall in accordance with national law have the power to take decisions that have binding effect, subject to judicial review, where applicable.</w:t>
      </w:r>
    </w:p>
    <w:p w:rsidR="00592014" w:rsidRPr="001D3FF4" w:rsidRDefault="00592014" w:rsidP="00592014">
      <w:pPr>
        <w:rPr>
          <w:lang w:eastAsia="de-DE"/>
        </w:rPr>
      </w:pPr>
      <w:r w:rsidRPr="001D3FF4">
        <w:rPr>
          <w:lang w:eastAsia="de-DE"/>
        </w:rPr>
        <w:t>9. Member States shall inform the Commission about the mechanism for the handling of complaints and shall indicate the authorities referred to in paragraph 3 by …</w:t>
      </w:r>
      <w:r w:rsidRPr="001D3FF4">
        <w:rPr>
          <w:rStyle w:val="Fotnotereferanse"/>
          <w:lang w:eastAsia="de-DE"/>
        </w:rPr>
        <w:footnoteReference w:customMarkFollows="1" w:id="28"/>
        <w:sym w:font="Symbol" w:char="F02A"/>
      </w:r>
      <w:r w:rsidRPr="001D3FF4">
        <w:rPr>
          <w:lang w:eastAsia="de-DE"/>
        </w:rPr>
        <w:t xml:space="preserve"> at the latest and subsequently any modification thereof. The Commission shall publish and update such information on its website.</w:t>
      </w:r>
    </w:p>
    <w:p w:rsidR="00592014" w:rsidRPr="001D3FF4" w:rsidRDefault="00592014" w:rsidP="00592014">
      <w:r w:rsidRPr="001D3FF4">
        <w:rPr>
          <w:lang w:eastAsia="de-DE"/>
        </w:rPr>
        <w:t xml:space="preserve">9a. </w:t>
      </w:r>
      <w:r w:rsidRPr="001D3FF4">
        <w:t>Member States shall, where appropriate, exchange general information about the application of this Article. The Commission shall support such cooperation.</w:t>
      </w:r>
    </w:p>
    <w:p w:rsidR="00592014" w:rsidRPr="001D3FF4" w:rsidRDefault="00592014" w:rsidP="00592014">
      <w:pPr>
        <w:jc w:val="center"/>
        <w:rPr>
          <w:lang w:eastAsia="de-DE"/>
        </w:rPr>
      </w:pPr>
      <w:r w:rsidRPr="001D3FF4">
        <w:rPr>
          <w:lang w:eastAsia="de-DE"/>
        </w:rPr>
        <w:t>Article 18</w:t>
      </w:r>
    </w:p>
    <w:p w:rsidR="00592014" w:rsidRPr="001D3FF4" w:rsidRDefault="00592014" w:rsidP="00592014">
      <w:pPr>
        <w:jc w:val="center"/>
        <w:rPr>
          <w:lang w:eastAsia="de-DE"/>
        </w:rPr>
      </w:pPr>
      <w:r w:rsidRPr="001D3FF4">
        <w:rPr>
          <w:lang w:eastAsia="de-DE"/>
        </w:rPr>
        <w:t>[…]</w:t>
      </w:r>
    </w:p>
    <w:p w:rsidR="00592014" w:rsidRPr="001D3FF4" w:rsidRDefault="009C240C" w:rsidP="00592014">
      <w:pPr>
        <w:rPr>
          <w:lang w:eastAsia="de-DE"/>
        </w:rPr>
      </w:pPr>
      <w:r>
        <w:rPr>
          <w:lang w:eastAsia="de-DE"/>
        </w:rPr>
        <w:t xml:space="preserve">1. </w:t>
      </w:r>
      <w:r w:rsidR="00592014" w:rsidRPr="001D3FF4">
        <w:rPr>
          <w:lang w:eastAsia="de-DE"/>
        </w:rPr>
        <w:t>[…]</w:t>
      </w:r>
    </w:p>
    <w:p w:rsidR="00592014" w:rsidRPr="001D3FF4" w:rsidRDefault="009C240C" w:rsidP="00592014">
      <w:pPr>
        <w:rPr>
          <w:lang w:eastAsia="de-DE"/>
        </w:rPr>
      </w:pPr>
      <w:r>
        <w:rPr>
          <w:lang w:eastAsia="de-DE"/>
        </w:rPr>
        <w:t xml:space="preserve">2. </w:t>
      </w:r>
      <w:r w:rsidR="00592014" w:rsidRPr="001D3FF4">
        <w:rPr>
          <w:lang w:eastAsia="de-DE"/>
        </w:rPr>
        <w:t>[…]</w:t>
      </w:r>
    </w:p>
    <w:p w:rsidR="00592014" w:rsidRPr="001D3FF4" w:rsidRDefault="009C240C" w:rsidP="00592014">
      <w:pPr>
        <w:rPr>
          <w:lang w:eastAsia="de-DE"/>
        </w:rPr>
      </w:pPr>
      <w:r>
        <w:rPr>
          <w:lang w:eastAsia="de-DE"/>
        </w:rPr>
        <w:t xml:space="preserve">3. </w:t>
      </w:r>
      <w:r w:rsidR="00592014" w:rsidRPr="001D3FF4">
        <w:rPr>
          <w:lang w:eastAsia="de-DE"/>
        </w:rPr>
        <w:t>[…]</w:t>
      </w:r>
    </w:p>
    <w:p w:rsidR="00592014" w:rsidRPr="001D3FF4" w:rsidRDefault="009C240C" w:rsidP="00592014">
      <w:pPr>
        <w:rPr>
          <w:lang w:eastAsia="de-DE"/>
        </w:rPr>
      </w:pPr>
      <w:r>
        <w:rPr>
          <w:lang w:eastAsia="de-DE"/>
        </w:rPr>
        <w:t xml:space="preserve">4. </w:t>
      </w:r>
      <w:r w:rsidR="00592014" w:rsidRPr="001D3FF4">
        <w:rPr>
          <w:lang w:eastAsia="de-DE"/>
        </w:rPr>
        <w:t>[…]</w:t>
      </w:r>
    </w:p>
    <w:p w:rsidR="00592014" w:rsidRPr="001D3FF4" w:rsidRDefault="009C240C" w:rsidP="00592014">
      <w:pPr>
        <w:rPr>
          <w:lang w:eastAsia="de-DE"/>
        </w:rPr>
      </w:pPr>
      <w:r>
        <w:rPr>
          <w:lang w:eastAsia="de-DE"/>
        </w:rPr>
        <w:t xml:space="preserve">5. </w:t>
      </w:r>
      <w:r w:rsidR="00592014" w:rsidRPr="001D3FF4">
        <w:rPr>
          <w:lang w:eastAsia="de-DE"/>
        </w:rPr>
        <w:t>[…]</w:t>
      </w:r>
    </w:p>
    <w:p w:rsidR="00592014" w:rsidRPr="001D3FF4" w:rsidRDefault="00592014" w:rsidP="00592014">
      <w:pPr>
        <w:jc w:val="center"/>
        <w:rPr>
          <w:lang w:eastAsia="de-DE"/>
        </w:rPr>
      </w:pPr>
      <w:r w:rsidRPr="001D3FF4">
        <w:rPr>
          <w:lang w:eastAsia="de-DE"/>
        </w:rPr>
        <w:br w:type="page"/>
      </w:r>
      <w:r w:rsidRPr="001D3FF4">
        <w:rPr>
          <w:lang w:eastAsia="de-DE"/>
        </w:rPr>
        <w:lastRenderedPageBreak/>
        <w:t>Article 18a</w:t>
      </w:r>
    </w:p>
    <w:p w:rsidR="00592014" w:rsidRPr="0025008F" w:rsidRDefault="0025008F" w:rsidP="0025008F">
      <w:pPr>
        <w:jc w:val="center"/>
        <w:rPr>
          <w:u w:val="single"/>
          <w:lang w:eastAsia="de-DE"/>
        </w:rPr>
      </w:pPr>
      <w:r w:rsidRPr="0025008F">
        <w:rPr>
          <w:b/>
          <w:bCs/>
          <w:u w:val="single"/>
          <w:lang w:eastAsia="de-DE"/>
        </w:rPr>
        <w:t xml:space="preserve">Relevant </w:t>
      </w:r>
      <w:r w:rsidR="00592014" w:rsidRPr="0025008F">
        <w:rPr>
          <w:b/>
          <w:bCs/>
          <w:u w:val="single"/>
          <w:lang w:eastAsia="de-DE"/>
        </w:rPr>
        <w:t>authorities</w:t>
      </w:r>
    </w:p>
    <w:p w:rsidR="00592014" w:rsidRPr="001D3FF4" w:rsidRDefault="00592014" w:rsidP="00592014">
      <w:pPr>
        <w:rPr>
          <w:lang w:eastAsia="de-DE"/>
        </w:rPr>
      </w:pPr>
      <w:r w:rsidRPr="001D3FF4">
        <w:rPr>
          <w:bCs/>
          <w:iCs/>
          <w:lang w:eastAsia="de-DE"/>
        </w:rPr>
        <w:t>Member States shall ensure that port users and other relevant stakeholders are informed of the relevant authorities referred to in Articles 12(5), 13(3) and 14(7). Member States shall also inform the Commission of these authorities by …</w:t>
      </w:r>
      <w:r w:rsidRPr="001D3FF4">
        <w:rPr>
          <w:rStyle w:val="Fotnotereferanse"/>
          <w:bCs/>
          <w:iCs/>
          <w:lang w:eastAsia="de-DE"/>
        </w:rPr>
        <w:footnoteReference w:customMarkFollows="1" w:id="29"/>
        <w:sym w:font="Symbol" w:char="F02A"/>
      </w:r>
      <w:r w:rsidRPr="001D3FF4">
        <w:rPr>
          <w:bCs/>
          <w:iCs/>
          <w:lang w:eastAsia="de-DE"/>
        </w:rPr>
        <w:t xml:space="preserve"> at the latest and subsequently any modification thereof. The Commission shall publish and regularly update such information on its website.</w:t>
      </w:r>
    </w:p>
    <w:p w:rsidR="0025008F" w:rsidRDefault="00592014" w:rsidP="0025008F">
      <w:pPr>
        <w:jc w:val="center"/>
        <w:rPr>
          <w:bCs/>
          <w:i/>
          <w:lang w:eastAsia="de-DE"/>
        </w:rPr>
      </w:pPr>
      <w:r w:rsidRPr="001D3FF4">
        <w:rPr>
          <w:bCs/>
          <w:lang w:eastAsia="de-DE"/>
        </w:rPr>
        <w:t>Article 19</w:t>
      </w:r>
    </w:p>
    <w:p w:rsidR="00592014" w:rsidRPr="001D3FF4" w:rsidRDefault="00592014" w:rsidP="0025008F">
      <w:pPr>
        <w:jc w:val="center"/>
        <w:rPr>
          <w:bCs/>
          <w:lang w:eastAsia="de-DE"/>
        </w:rPr>
      </w:pPr>
      <w:r w:rsidRPr="001D3FF4">
        <w:rPr>
          <w:bCs/>
          <w:lang w:eastAsia="de-DE"/>
        </w:rPr>
        <w:t>Appeals</w:t>
      </w:r>
    </w:p>
    <w:p w:rsidR="00592014" w:rsidRPr="001D3FF4" w:rsidRDefault="00592014" w:rsidP="00592014">
      <w:pPr>
        <w:rPr>
          <w:lang w:eastAsia="de-DE"/>
        </w:rPr>
      </w:pPr>
      <w:r w:rsidRPr="001D3FF4">
        <w:rPr>
          <w:lang w:eastAsia="de-DE"/>
        </w:rPr>
        <w:t xml:space="preserve">1. Any party with a legitimate interest shall have the right to appeal against the decisions or individual measures taken under this Regulation by the managing body of the port, the competent authority, or </w:t>
      </w:r>
      <w:r w:rsidRPr="001D3FF4">
        <w:rPr>
          <w:bCs/>
          <w:iCs/>
          <w:lang w:eastAsia="de-DE"/>
        </w:rPr>
        <w:t>any other relevant national authority. Appeal bodies shall be</w:t>
      </w:r>
      <w:r w:rsidRPr="001D3FF4">
        <w:rPr>
          <w:b/>
          <w:bCs/>
          <w:iCs/>
          <w:lang w:eastAsia="de-DE"/>
        </w:rPr>
        <w:t xml:space="preserve"> </w:t>
      </w:r>
      <w:r w:rsidRPr="001D3FF4">
        <w:rPr>
          <w:lang w:eastAsia="de-DE"/>
        </w:rPr>
        <w:t>independent of the parties involved and may be a court.</w:t>
      </w:r>
    </w:p>
    <w:p w:rsidR="00592014" w:rsidRPr="001D3FF4" w:rsidRDefault="00592014" w:rsidP="00592014">
      <w:pPr>
        <w:rPr>
          <w:lang w:eastAsia="de-DE"/>
        </w:rPr>
      </w:pPr>
      <w:r w:rsidRPr="001D3FF4">
        <w:rPr>
          <w:lang w:eastAsia="de-DE"/>
        </w:rPr>
        <w:t>2. Where the appeal body referred in paragraph 1 is not judicial in character, it shall give reasons in writing for its decisions. Its decisions shall also be subject to review by a national court.</w:t>
      </w:r>
    </w:p>
    <w:p w:rsidR="00592014" w:rsidRPr="001D3FF4" w:rsidRDefault="00592014" w:rsidP="00592014">
      <w:pPr>
        <w:pStyle w:val="Normal6"/>
        <w:spacing w:after="0" w:line="360" w:lineRule="auto"/>
        <w:jc w:val="center"/>
        <w:rPr>
          <w:lang w:eastAsia="de-DE"/>
        </w:rPr>
      </w:pPr>
      <w:r w:rsidRPr="001D3FF4">
        <w:rPr>
          <w:lang w:eastAsia="de-DE"/>
        </w:rPr>
        <w:t>Article 20</w:t>
      </w:r>
    </w:p>
    <w:p w:rsidR="00592014" w:rsidRPr="001D3FF4" w:rsidRDefault="00592014" w:rsidP="00592014">
      <w:pPr>
        <w:jc w:val="center"/>
        <w:rPr>
          <w:lang w:eastAsia="de-DE"/>
        </w:rPr>
      </w:pPr>
      <w:r w:rsidRPr="001D3FF4">
        <w:rPr>
          <w:lang w:eastAsia="de-DE"/>
        </w:rPr>
        <w:t>Penalties</w:t>
      </w:r>
    </w:p>
    <w:p w:rsidR="00592014" w:rsidRPr="001D3FF4" w:rsidRDefault="00592014" w:rsidP="00592014">
      <w:pPr>
        <w:rPr>
          <w:lang w:eastAsia="de-DE"/>
        </w:rPr>
      </w:pPr>
      <w:r w:rsidRPr="001D3FF4">
        <w:rPr>
          <w:lang w:eastAsia="de-DE"/>
        </w:rPr>
        <w:t xml:space="preserve">Member States shall lay down the rules on penalties applicable to infringements of the provisions of this Regulation and shall take all measures necessary to ensure that they are implemented. The penalties provided for must be effective, proportionate and dissuasive. Member States shall notify those provisions to the Commission by </w:t>
      </w:r>
      <w:r w:rsidRPr="001D3FF4">
        <w:rPr>
          <w:b/>
          <w:bCs/>
          <w:i/>
          <w:iCs/>
          <w:lang w:eastAsia="de-DE"/>
        </w:rPr>
        <w:t>…</w:t>
      </w:r>
      <w:r w:rsidRPr="001D3FF4">
        <w:rPr>
          <w:rStyle w:val="Fotnotereferanse"/>
          <w:b w:val="0"/>
          <w:bCs/>
          <w:i/>
          <w:iCs/>
          <w:lang w:eastAsia="de-DE"/>
        </w:rPr>
        <w:footnoteReference w:customMarkFollows="1" w:id="30"/>
        <w:sym w:font="Symbol" w:char="F02A"/>
      </w:r>
      <w:r w:rsidRPr="001D3FF4">
        <w:rPr>
          <w:b/>
          <w:bCs/>
          <w:i/>
          <w:iCs/>
          <w:lang w:eastAsia="de-DE"/>
        </w:rPr>
        <w:t xml:space="preserve"> </w:t>
      </w:r>
      <w:r w:rsidRPr="001D3FF4">
        <w:rPr>
          <w:lang w:eastAsia="de-DE"/>
        </w:rPr>
        <w:t>at the latest and shall notify it without delay of any subsequent amendment affecting them.</w:t>
      </w:r>
    </w:p>
    <w:p w:rsidR="00592014" w:rsidRPr="001D3FF4" w:rsidRDefault="00592014" w:rsidP="00592014">
      <w:pPr>
        <w:pStyle w:val="Normal6"/>
        <w:spacing w:after="0" w:line="360" w:lineRule="auto"/>
        <w:jc w:val="center"/>
        <w:rPr>
          <w:bCs/>
          <w:iCs/>
          <w:lang w:eastAsia="de-DE"/>
        </w:rPr>
      </w:pPr>
      <w:r w:rsidRPr="001D3FF4">
        <w:rPr>
          <w:bCs/>
          <w:iCs/>
          <w:lang w:eastAsia="de-DE"/>
        </w:rPr>
        <w:br w:type="page"/>
      </w:r>
      <w:r w:rsidRPr="001D3FF4">
        <w:rPr>
          <w:bCs/>
          <w:iCs/>
          <w:lang w:eastAsia="de-DE"/>
        </w:rPr>
        <w:lastRenderedPageBreak/>
        <w:t>Article 21</w:t>
      </w:r>
    </w:p>
    <w:p w:rsidR="00592014" w:rsidRPr="001D3FF4" w:rsidRDefault="00592014" w:rsidP="00592014">
      <w:pPr>
        <w:jc w:val="center"/>
        <w:rPr>
          <w:bCs/>
          <w:iCs/>
          <w:lang w:eastAsia="de-DE"/>
        </w:rPr>
      </w:pPr>
      <w:r w:rsidRPr="001D3FF4">
        <w:rPr>
          <w:bCs/>
          <w:iCs/>
          <w:lang w:eastAsia="de-DE"/>
        </w:rPr>
        <w:t>[…]</w:t>
      </w:r>
    </w:p>
    <w:p w:rsidR="00592014" w:rsidRPr="001D3FF4" w:rsidRDefault="00592014" w:rsidP="00592014">
      <w:pPr>
        <w:rPr>
          <w:bCs/>
          <w:iCs/>
          <w:lang w:eastAsia="de-DE"/>
        </w:rPr>
      </w:pPr>
      <w:r w:rsidRPr="001D3FF4">
        <w:rPr>
          <w:bCs/>
          <w:iCs/>
          <w:lang w:eastAsia="de-DE"/>
        </w:rPr>
        <w:t>1. […]</w:t>
      </w:r>
    </w:p>
    <w:p w:rsidR="00592014" w:rsidRPr="001D3FF4" w:rsidRDefault="00592014" w:rsidP="00592014">
      <w:pPr>
        <w:rPr>
          <w:bCs/>
          <w:iCs/>
          <w:lang w:eastAsia="de-DE"/>
        </w:rPr>
      </w:pPr>
      <w:r w:rsidRPr="001D3FF4">
        <w:rPr>
          <w:bCs/>
          <w:iCs/>
          <w:lang w:eastAsia="de-DE"/>
        </w:rPr>
        <w:t>2. […]</w:t>
      </w:r>
    </w:p>
    <w:p w:rsidR="00592014" w:rsidRPr="001D3FF4" w:rsidRDefault="00592014" w:rsidP="00592014">
      <w:pPr>
        <w:rPr>
          <w:bCs/>
          <w:iCs/>
          <w:lang w:eastAsia="de-DE"/>
        </w:rPr>
      </w:pPr>
      <w:r w:rsidRPr="001D3FF4">
        <w:rPr>
          <w:bCs/>
          <w:iCs/>
          <w:lang w:eastAsia="de-DE"/>
        </w:rPr>
        <w:t>3.</w:t>
      </w:r>
      <w:r w:rsidRPr="001D3FF4">
        <w:rPr>
          <w:bCs/>
          <w:i/>
          <w:lang w:eastAsia="de-DE"/>
        </w:rPr>
        <w:t xml:space="preserve"> </w:t>
      </w:r>
      <w:r w:rsidRPr="001D3FF4">
        <w:rPr>
          <w:bCs/>
          <w:iCs/>
          <w:lang w:eastAsia="de-DE"/>
        </w:rPr>
        <w:t>[…]</w:t>
      </w:r>
    </w:p>
    <w:p w:rsidR="00592014" w:rsidRPr="001D3FF4" w:rsidRDefault="00592014" w:rsidP="00592014">
      <w:pPr>
        <w:rPr>
          <w:bCs/>
          <w:iCs/>
          <w:lang w:eastAsia="de-DE"/>
        </w:rPr>
      </w:pPr>
      <w:r w:rsidRPr="001D3FF4">
        <w:rPr>
          <w:bCs/>
          <w:iCs/>
          <w:lang w:eastAsia="de-DE"/>
        </w:rPr>
        <w:t>4. […]</w:t>
      </w:r>
    </w:p>
    <w:p w:rsidR="00592014" w:rsidRPr="001D3FF4" w:rsidRDefault="00592014" w:rsidP="00592014">
      <w:pPr>
        <w:rPr>
          <w:bCs/>
          <w:iCs/>
          <w:lang w:eastAsia="de-DE"/>
        </w:rPr>
      </w:pPr>
      <w:r w:rsidRPr="001D3FF4">
        <w:rPr>
          <w:bCs/>
          <w:iCs/>
          <w:lang w:eastAsia="de-DE"/>
        </w:rPr>
        <w:t>5. […]</w:t>
      </w:r>
    </w:p>
    <w:p w:rsidR="00592014" w:rsidRPr="001D3FF4" w:rsidRDefault="00592014" w:rsidP="00592014">
      <w:pPr>
        <w:pStyle w:val="Normal6"/>
        <w:spacing w:after="0" w:line="360" w:lineRule="auto"/>
        <w:jc w:val="center"/>
        <w:rPr>
          <w:bCs/>
          <w:iCs/>
          <w:lang w:eastAsia="de-DE"/>
        </w:rPr>
      </w:pPr>
      <w:r w:rsidRPr="001D3FF4">
        <w:rPr>
          <w:bCs/>
          <w:iCs/>
          <w:lang w:eastAsia="de-DE"/>
        </w:rPr>
        <w:t>Article 22</w:t>
      </w:r>
    </w:p>
    <w:p w:rsidR="00592014" w:rsidRPr="001D3FF4" w:rsidRDefault="00592014" w:rsidP="00592014">
      <w:pPr>
        <w:jc w:val="center"/>
        <w:rPr>
          <w:bCs/>
          <w:iCs/>
          <w:lang w:eastAsia="de-DE"/>
        </w:rPr>
      </w:pPr>
      <w:r w:rsidRPr="001D3FF4">
        <w:rPr>
          <w:bCs/>
          <w:iCs/>
          <w:lang w:eastAsia="de-DE"/>
        </w:rPr>
        <w:t>[…]</w:t>
      </w:r>
    </w:p>
    <w:p w:rsidR="00592014" w:rsidRPr="001D3FF4" w:rsidRDefault="00592014" w:rsidP="00592014">
      <w:pPr>
        <w:rPr>
          <w:bCs/>
          <w:iCs/>
          <w:lang w:eastAsia="de-DE"/>
        </w:rPr>
      </w:pPr>
      <w:r w:rsidRPr="001D3FF4">
        <w:rPr>
          <w:bCs/>
          <w:iCs/>
          <w:lang w:eastAsia="de-DE"/>
        </w:rPr>
        <w:t>1. […]</w:t>
      </w:r>
    </w:p>
    <w:p w:rsidR="00592014" w:rsidRPr="001D3FF4" w:rsidRDefault="00592014" w:rsidP="00592014">
      <w:pPr>
        <w:rPr>
          <w:bCs/>
          <w:iCs/>
          <w:lang w:eastAsia="de-DE"/>
        </w:rPr>
      </w:pPr>
      <w:r w:rsidRPr="001D3FF4">
        <w:rPr>
          <w:bCs/>
          <w:iCs/>
          <w:lang w:eastAsia="de-DE"/>
        </w:rPr>
        <w:t>2. […]</w:t>
      </w:r>
    </w:p>
    <w:p w:rsidR="00592014" w:rsidRPr="001D3FF4" w:rsidRDefault="00592014" w:rsidP="00592014">
      <w:pPr>
        <w:pStyle w:val="Normal6"/>
        <w:spacing w:after="0" w:line="360" w:lineRule="auto"/>
        <w:jc w:val="center"/>
        <w:rPr>
          <w:lang w:eastAsia="de-DE"/>
        </w:rPr>
      </w:pPr>
      <w:r w:rsidRPr="001D3FF4">
        <w:rPr>
          <w:lang w:eastAsia="de-DE"/>
        </w:rPr>
        <w:t>Article 23</w:t>
      </w:r>
    </w:p>
    <w:p w:rsidR="00592014" w:rsidRPr="001D3FF4" w:rsidRDefault="00592014" w:rsidP="00592014">
      <w:pPr>
        <w:jc w:val="center"/>
        <w:rPr>
          <w:lang w:eastAsia="de-DE"/>
        </w:rPr>
      </w:pPr>
      <w:r w:rsidRPr="001D3FF4">
        <w:rPr>
          <w:lang w:eastAsia="de-DE"/>
        </w:rPr>
        <w:t>Report</w:t>
      </w:r>
    </w:p>
    <w:p w:rsidR="00592014" w:rsidRPr="001D3FF4" w:rsidRDefault="00592014" w:rsidP="00592014">
      <w:pPr>
        <w:pStyle w:val="Normal6"/>
        <w:spacing w:after="0" w:line="360" w:lineRule="auto"/>
        <w:rPr>
          <w:lang w:eastAsia="de-DE"/>
        </w:rPr>
      </w:pPr>
      <w:r w:rsidRPr="001D3FF4">
        <w:rPr>
          <w:lang w:eastAsia="de-DE"/>
        </w:rPr>
        <w:t>No later than …</w:t>
      </w:r>
      <w:r w:rsidRPr="001D3FF4">
        <w:rPr>
          <w:rStyle w:val="Fotnotereferanse"/>
          <w:lang w:eastAsia="de-DE"/>
        </w:rPr>
        <w:footnoteReference w:customMarkFollows="1" w:id="31"/>
        <w:sym w:font="Symbol" w:char="F02A"/>
      </w:r>
      <w:r w:rsidRPr="001D3FF4">
        <w:rPr>
          <w:lang w:eastAsia="de-DE"/>
        </w:rPr>
        <w:t>, the Commission shall present a report to the European Parliament and the Council on the functioning and effect of this Regulation.</w:t>
      </w:r>
    </w:p>
    <w:p w:rsidR="00592014" w:rsidRPr="001D3FF4" w:rsidRDefault="00592014" w:rsidP="00592014">
      <w:pPr>
        <w:pStyle w:val="Normal6"/>
        <w:spacing w:after="0" w:line="360" w:lineRule="auto"/>
        <w:rPr>
          <w:lang w:eastAsia="de-DE"/>
        </w:rPr>
      </w:pPr>
    </w:p>
    <w:p w:rsidR="00592014" w:rsidRPr="001D3FF4" w:rsidRDefault="00592014" w:rsidP="00592014">
      <w:pPr>
        <w:rPr>
          <w:lang w:eastAsia="de-DE"/>
        </w:rPr>
      </w:pPr>
      <w:r w:rsidRPr="001D3FF4">
        <w:rPr>
          <w:lang w:eastAsia="de-DE"/>
        </w:rPr>
        <w:t xml:space="preserve">The report shall take into account any progress made in the framework of the EU-level </w:t>
      </w:r>
      <w:proofErr w:type="spellStart"/>
      <w:r w:rsidRPr="001D3FF4">
        <w:rPr>
          <w:lang w:eastAsia="de-DE"/>
        </w:rPr>
        <w:t>Sectoral</w:t>
      </w:r>
      <w:proofErr w:type="spellEnd"/>
      <w:r w:rsidRPr="001D3FF4">
        <w:rPr>
          <w:lang w:eastAsia="de-DE"/>
        </w:rPr>
        <w:t xml:space="preserve"> Social Dialogue Committee for Ports.</w:t>
      </w:r>
    </w:p>
    <w:p w:rsidR="00592014" w:rsidRPr="001D3FF4" w:rsidRDefault="00592014" w:rsidP="00592014">
      <w:pPr>
        <w:pStyle w:val="Normal6"/>
        <w:pageBreakBefore/>
        <w:spacing w:after="0" w:line="360" w:lineRule="auto"/>
        <w:jc w:val="center"/>
        <w:rPr>
          <w:lang w:eastAsia="de-DE"/>
        </w:rPr>
      </w:pPr>
      <w:r w:rsidRPr="001D3FF4">
        <w:rPr>
          <w:lang w:eastAsia="de-DE"/>
        </w:rPr>
        <w:lastRenderedPageBreak/>
        <w:t>Article 24</w:t>
      </w:r>
    </w:p>
    <w:p w:rsidR="00592014" w:rsidRPr="001D3FF4" w:rsidRDefault="00592014" w:rsidP="00592014">
      <w:pPr>
        <w:jc w:val="center"/>
        <w:rPr>
          <w:lang w:eastAsia="de-DE"/>
        </w:rPr>
      </w:pPr>
      <w:r w:rsidRPr="001D3FF4">
        <w:rPr>
          <w:lang w:eastAsia="de-DE"/>
        </w:rPr>
        <w:t>Transitional measures</w:t>
      </w:r>
    </w:p>
    <w:p w:rsidR="00592014" w:rsidRPr="001D3FF4" w:rsidRDefault="00592014" w:rsidP="001D3FF4">
      <w:pPr>
        <w:rPr>
          <w:b/>
          <w:iCs/>
          <w:lang w:eastAsia="de-DE"/>
        </w:rPr>
      </w:pPr>
      <w:r w:rsidRPr="001D3FF4">
        <w:rPr>
          <w:bCs/>
          <w:iCs/>
          <w:lang w:eastAsia="de-DE"/>
        </w:rPr>
        <w:t>1. This Regulation shall not apply to port service contracts concluded before …</w:t>
      </w:r>
      <w:r w:rsidRPr="001D3FF4">
        <w:rPr>
          <w:rStyle w:val="Fotnotereferanse"/>
          <w:bCs/>
          <w:iCs/>
          <w:lang w:eastAsia="de-DE"/>
        </w:rPr>
        <w:footnoteReference w:customMarkFollows="1" w:id="32"/>
        <w:sym w:font="Symbol" w:char="F02A"/>
      </w:r>
      <w:r w:rsidRPr="001D3FF4">
        <w:rPr>
          <w:bCs/>
          <w:iCs/>
          <w:lang w:eastAsia="de-DE"/>
        </w:rPr>
        <w:t xml:space="preserve"> and</w:t>
      </w:r>
      <w:r w:rsidRPr="001D3FF4">
        <w:rPr>
          <w:b/>
          <w:iCs/>
          <w:lang w:eastAsia="de-DE"/>
        </w:rPr>
        <w:t xml:space="preserve"> </w:t>
      </w:r>
      <w:r w:rsidRPr="001D3FF4">
        <w:rPr>
          <w:bCs/>
          <w:iCs/>
          <w:lang w:eastAsia="de-DE"/>
        </w:rPr>
        <w:t xml:space="preserve">which are limited in time. </w:t>
      </w:r>
    </w:p>
    <w:p w:rsidR="00592014" w:rsidRPr="001D3FF4" w:rsidRDefault="00592014" w:rsidP="001D3FF4">
      <w:pPr>
        <w:rPr>
          <w:bCs/>
          <w:iCs/>
          <w:lang w:eastAsia="de-DE"/>
        </w:rPr>
      </w:pPr>
      <w:r w:rsidRPr="001D3FF4">
        <w:rPr>
          <w:bCs/>
          <w:iCs/>
          <w:lang w:eastAsia="de-DE"/>
        </w:rPr>
        <w:t>2.</w:t>
      </w:r>
      <w:r w:rsidRPr="001D3FF4">
        <w:rPr>
          <w:b/>
          <w:iCs/>
          <w:lang w:eastAsia="de-DE"/>
        </w:rPr>
        <w:t xml:space="preserve"> </w:t>
      </w:r>
      <w:r w:rsidRPr="001D3FF4">
        <w:rPr>
          <w:lang w:eastAsia="de-DE"/>
        </w:rPr>
        <w:t xml:space="preserve">Port service contracts concluded before </w:t>
      </w:r>
      <w:r w:rsidRPr="001D3FF4">
        <w:rPr>
          <w:i/>
          <w:iCs/>
          <w:lang w:eastAsia="de-DE"/>
        </w:rPr>
        <w:t>…</w:t>
      </w:r>
      <w:r w:rsidRPr="001D3FF4">
        <w:rPr>
          <w:rStyle w:val="Fotnotereferanse"/>
          <w:i/>
          <w:iCs/>
          <w:lang w:eastAsia="de-DE"/>
        </w:rPr>
        <w:footnoteReference w:customMarkFollows="1" w:id="33"/>
        <w:sym w:font="Symbol" w:char="F02A"/>
      </w:r>
      <w:r w:rsidRPr="001D3FF4">
        <w:rPr>
          <w:lang w:eastAsia="de-DE"/>
        </w:rPr>
        <w:t xml:space="preserve"> which are not limited in time</w:t>
      </w:r>
      <w:r w:rsidRPr="001D3FF4">
        <w:rPr>
          <w:b/>
          <w:bCs/>
          <w:lang w:eastAsia="de-DE"/>
        </w:rPr>
        <w:t>,</w:t>
      </w:r>
      <w:r w:rsidRPr="001D3FF4">
        <w:rPr>
          <w:lang w:eastAsia="de-DE"/>
        </w:rPr>
        <w:t xml:space="preserve"> or have similar effects</w:t>
      </w:r>
      <w:r w:rsidRPr="001D3FF4">
        <w:rPr>
          <w:b/>
          <w:bCs/>
          <w:lang w:eastAsia="de-DE"/>
        </w:rPr>
        <w:t>,</w:t>
      </w:r>
      <w:r w:rsidRPr="001D3FF4">
        <w:rPr>
          <w:lang w:eastAsia="de-DE"/>
        </w:rPr>
        <w:t xml:space="preserve"> shall be aligned to this Regulation by 1 July 2025.</w:t>
      </w:r>
    </w:p>
    <w:p w:rsidR="00592014" w:rsidRPr="001D3FF4" w:rsidRDefault="00592014" w:rsidP="00592014">
      <w:pPr>
        <w:pStyle w:val="Normal6"/>
        <w:spacing w:after="0" w:line="360" w:lineRule="auto"/>
        <w:jc w:val="center"/>
        <w:rPr>
          <w:lang w:eastAsia="de-DE"/>
        </w:rPr>
      </w:pPr>
      <w:r w:rsidRPr="001D3FF4">
        <w:rPr>
          <w:lang w:eastAsia="de-DE"/>
        </w:rPr>
        <w:t>Article 25</w:t>
      </w:r>
    </w:p>
    <w:p w:rsidR="00592014" w:rsidRPr="001D3FF4" w:rsidRDefault="00592014" w:rsidP="00592014">
      <w:pPr>
        <w:jc w:val="center"/>
        <w:rPr>
          <w:lang w:eastAsia="de-DE"/>
        </w:rPr>
      </w:pPr>
      <w:r w:rsidRPr="001D3FF4">
        <w:rPr>
          <w:lang w:eastAsia="de-DE"/>
        </w:rPr>
        <w:t>Entry into force</w:t>
      </w:r>
    </w:p>
    <w:p w:rsidR="00592014" w:rsidRPr="001D3FF4" w:rsidRDefault="00592014" w:rsidP="00592014">
      <w:pPr>
        <w:rPr>
          <w:iCs/>
          <w:lang w:eastAsia="de-DE"/>
        </w:rPr>
      </w:pPr>
      <w:r w:rsidRPr="001D3FF4">
        <w:rPr>
          <w:lang w:eastAsia="de-DE"/>
        </w:rPr>
        <w:t xml:space="preserve">This Regulation shall enter into force on the twentieth day following that of its publication in the </w:t>
      </w:r>
      <w:r w:rsidRPr="001D3FF4">
        <w:rPr>
          <w:i/>
          <w:lang w:eastAsia="de-DE"/>
        </w:rPr>
        <w:t>Official Journal of the European Union</w:t>
      </w:r>
      <w:r w:rsidRPr="001D3FF4">
        <w:rPr>
          <w:iCs/>
          <w:lang w:eastAsia="de-DE"/>
        </w:rPr>
        <w:t>.</w:t>
      </w:r>
    </w:p>
    <w:p w:rsidR="00592014" w:rsidRPr="001D3FF4" w:rsidRDefault="00592014" w:rsidP="00592014">
      <w:pPr>
        <w:rPr>
          <w:lang w:eastAsia="de-DE"/>
        </w:rPr>
      </w:pPr>
      <w:r w:rsidRPr="001D3FF4">
        <w:rPr>
          <w:lang w:eastAsia="de-DE"/>
        </w:rPr>
        <w:t>It shall apply with effect from …</w:t>
      </w:r>
      <w:r w:rsidRPr="001D3FF4">
        <w:rPr>
          <w:rStyle w:val="Fotnotereferanse"/>
          <w:lang w:eastAsia="de-DE"/>
        </w:rPr>
        <w:footnoteReference w:customMarkFollows="1" w:id="34"/>
        <w:sym w:font="Symbol" w:char="F02A"/>
      </w:r>
      <w:r w:rsidRPr="001D3FF4">
        <w:rPr>
          <w:lang w:eastAsia="de-DE"/>
        </w:rPr>
        <w:t>.</w:t>
      </w:r>
    </w:p>
    <w:p w:rsidR="00592014" w:rsidRPr="001D3FF4" w:rsidRDefault="00592014" w:rsidP="00592014">
      <w:pPr>
        <w:rPr>
          <w:lang w:eastAsia="de-DE"/>
        </w:rPr>
      </w:pPr>
      <w:r w:rsidRPr="001D3FF4">
        <w:rPr>
          <w:lang w:eastAsia="de-DE"/>
        </w:rPr>
        <w:t>This Regulation shall be binding in its entirety and directly applicable in all Member States.</w:t>
      </w:r>
    </w:p>
    <w:p w:rsidR="00592014" w:rsidRPr="001D3FF4" w:rsidRDefault="00592014" w:rsidP="00592014">
      <w:pPr>
        <w:rPr>
          <w:lang w:eastAsia="de-DE"/>
        </w:rPr>
      </w:pPr>
    </w:p>
    <w:p w:rsidR="00592014" w:rsidRPr="001D3FF4" w:rsidRDefault="00592014" w:rsidP="00592014">
      <w:pPr>
        <w:rPr>
          <w:lang w:eastAsia="de-DE"/>
        </w:rPr>
      </w:pPr>
      <w:r w:rsidRPr="001D3FF4">
        <w:rPr>
          <w:lang w:eastAsia="de-DE"/>
        </w:rPr>
        <w:t>Done at Strasbourg,</w:t>
      </w:r>
    </w:p>
    <w:p w:rsidR="00592014" w:rsidRPr="001D3FF4" w:rsidRDefault="00592014" w:rsidP="00592014">
      <w:pPr>
        <w:pStyle w:val="Institutionquisigne"/>
        <w:spacing w:before="0"/>
        <w:rPr>
          <w:noProof/>
        </w:rPr>
      </w:pPr>
      <w:r w:rsidRPr="001D3FF4">
        <w:rPr>
          <w:noProof/>
        </w:rPr>
        <w:t>For the European Parliament</w:t>
      </w:r>
      <w:r w:rsidRPr="001D3FF4">
        <w:rPr>
          <w:noProof/>
        </w:rPr>
        <w:tab/>
        <w:t>For the Council</w:t>
      </w:r>
    </w:p>
    <w:p w:rsidR="00592014" w:rsidRPr="001D3FF4" w:rsidRDefault="00592014" w:rsidP="00592014">
      <w:pPr>
        <w:rPr>
          <w:bCs/>
          <w:iCs/>
        </w:rPr>
      </w:pPr>
      <w:r w:rsidRPr="001D3FF4">
        <w:rPr>
          <w:noProof/>
        </w:rPr>
        <w:t>The President</w:t>
      </w:r>
      <w:r w:rsidRPr="001D3FF4">
        <w:rPr>
          <w:noProof/>
        </w:rPr>
        <w:tab/>
      </w:r>
      <w:r w:rsidRPr="001D3FF4">
        <w:rPr>
          <w:noProof/>
        </w:rPr>
        <w:tab/>
      </w:r>
      <w:r w:rsidRPr="001D3FF4">
        <w:rPr>
          <w:noProof/>
        </w:rPr>
        <w:tab/>
      </w:r>
      <w:r w:rsidRPr="001D3FF4">
        <w:rPr>
          <w:noProof/>
        </w:rPr>
        <w:tab/>
      </w:r>
      <w:r w:rsidRPr="001D3FF4">
        <w:rPr>
          <w:noProof/>
        </w:rPr>
        <w:tab/>
      </w:r>
      <w:r w:rsidRPr="001D3FF4">
        <w:rPr>
          <w:noProof/>
        </w:rPr>
        <w:tab/>
        <w:t>The President</w:t>
      </w:r>
      <w:r w:rsidRPr="001D3FF4">
        <w:rPr>
          <w:noProof/>
        </w:rPr>
        <w:br/>
        <w:t>[…]</w:t>
      </w:r>
      <w:r w:rsidRPr="001D3FF4">
        <w:rPr>
          <w:noProof/>
        </w:rPr>
        <w:tab/>
      </w:r>
      <w:r w:rsidRPr="001D3FF4">
        <w:rPr>
          <w:noProof/>
        </w:rPr>
        <w:tab/>
      </w:r>
      <w:r w:rsidRPr="001D3FF4">
        <w:rPr>
          <w:noProof/>
        </w:rPr>
        <w:tab/>
      </w:r>
      <w:r w:rsidRPr="001D3FF4">
        <w:rPr>
          <w:noProof/>
        </w:rPr>
        <w:tab/>
      </w:r>
      <w:r w:rsidRPr="001D3FF4">
        <w:rPr>
          <w:noProof/>
        </w:rPr>
        <w:tab/>
      </w:r>
      <w:r w:rsidRPr="001D3FF4">
        <w:rPr>
          <w:noProof/>
        </w:rPr>
        <w:tab/>
      </w:r>
      <w:r w:rsidRPr="001D3FF4">
        <w:rPr>
          <w:noProof/>
        </w:rPr>
        <w:tab/>
      </w:r>
      <w:r w:rsidRPr="001D3FF4">
        <w:rPr>
          <w:noProof/>
        </w:rPr>
        <w:tab/>
        <w:t>[…]</w:t>
      </w:r>
    </w:p>
    <w:p w:rsidR="00006308" w:rsidRPr="001D3FF4" w:rsidRDefault="00006308" w:rsidP="00592014">
      <w:pPr>
        <w:jc w:val="center"/>
      </w:pPr>
      <w:r w:rsidRPr="001D3FF4">
        <w:t>___________________________</w:t>
      </w:r>
    </w:p>
    <w:p w:rsidR="00FE5AF1" w:rsidRPr="001D3FF4" w:rsidRDefault="00FE5AF1" w:rsidP="00592014"/>
    <w:sectPr w:rsidR="00FE5AF1" w:rsidRPr="001D3FF4" w:rsidSect="00EA6097">
      <w:headerReference w:type="default" r:id="rId11"/>
      <w:footerReference w:type="default" r:id="rId12"/>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D6" w:rsidRDefault="002050D6" w:rsidP="00484E10">
      <w:pPr>
        <w:spacing w:before="0" w:after="0" w:line="240" w:lineRule="auto"/>
      </w:pPr>
      <w:r>
        <w:separator/>
      </w:r>
    </w:p>
  </w:endnote>
  <w:endnote w:type="continuationSeparator" w:id="0">
    <w:p w:rsidR="002050D6" w:rsidRDefault="002050D6" w:rsidP="00484E1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EA6097" w:rsidRPr="00D94637" w:rsidTr="00EA6097">
      <w:trPr>
        <w:jc w:val="center"/>
      </w:trPr>
      <w:tc>
        <w:tcPr>
          <w:tcW w:w="5000" w:type="pct"/>
          <w:gridSpan w:val="7"/>
          <w:shd w:val="clear" w:color="auto" w:fill="auto"/>
          <w:tcMar>
            <w:top w:w="57" w:type="dxa"/>
          </w:tcMar>
        </w:tcPr>
        <w:p w:rsidR="00EA6097" w:rsidRPr="00D94637" w:rsidRDefault="00EA6097" w:rsidP="00D94637">
          <w:pPr>
            <w:pStyle w:val="FooterText"/>
            <w:pBdr>
              <w:top w:val="single" w:sz="4" w:space="1" w:color="auto"/>
            </w:pBdr>
            <w:spacing w:before="200"/>
            <w:rPr>
              <w:sz w:val="2"/>
              <w:szCs w:val="2"/>
            </w:rPr>
          </w:pPr>
          <w:bookmarkStart w:id="3" w:name="FOOTER_STANDARD"/>
        </w:p>
      </w:tc>
    </w:tr>
    <w:tr w:rsidR="00EA6097" w:rsidRPr="00B310DC" w:rsidTr="00EA6097">
      <w:trPr>
        <w:jc w:val="center"/>
      </w:trPr>
      <w:tc>
        <w:tcPr>
          <w:tcW w:w="2500" w:type="pct"/>
          <w:gridSpan w:val="2"/>
          <w:shd w:val="clear" w:color="auto" w:fill="auto"/>
          <w:tcMar>
            <w:top w:w="0" w:type="dxa"/>
          </w:tcMar>
        </w:tcPr>
        <w:p w:rsidR="00EA6097" w:rsidRPr="00AD7BF2" w:rsidRDefault="00EA6097" w:rsidP="004F54B2">
          <w:pPr>
            <w:pStyle w:val="FooterText"/>
          </w:pPr>
          <w:r>
            <w:t>10579/16</w:t>
          </w:r>
          <w:r w:rsidRPr="002511D8">
            <w:t xml:space="preserve"> </w:t>
          </w:r>
        </w:p>
      </w:tc>
      <w:tc>
        <w:tcPr>
          <w:tcW w:w="625" w:type="pct"/>
          <w:shd w:val="clear" w:color="auto" w:fill="auto"/>
          <w:tcMar>
            <w:top w:w="0" w:type="dxa"/>
          </w:tcMar>
        </w:tcPr>
        <w:p w:rsidR="00EA6097" w:rsidRPr="00AD7BF2" w:rsidRDefault="00EA6097" w:rsidP="00D94637">
          <w:pPr>
            <w:pStyle w:val="FooterText"/>
            <w:jc w:val="center"/>
          </w:pPr>
        </w:p>
      </w:tc>
      <w:tc>
        <w:tcPr>
          <w:tcW w:w="1287" w:type="pct"/>
          <w:gridSpan w:val="3"/>
          <w:shd w:val="clear" w:color="auto" w:fill="auto"/>
          <w:tcMar>
            <w:top w:w="0" w:type="dxa"/>
          </w:tcMar>
        </w:tcPr>
        <w:p w:rsidR="00EA6097" w:rsidRPr="002511D8" w:rsidRDefault="00EA6097" w:rsidP="00D94637">
          <w:pPr>
            <w:pStyle w:val="FooterText"/>
            <w:jc w:val="center"/>
          </w:pPr>
          <w:r>
            <w:t>AV/</w:t>
          </w:r>
          <w:proofErr w:type="spellStart"/>
          <w:r>
            <w:t>il</w:t>
          </w:r>
          <w:proofErr w:type="spellEnd"/>
        </w:p>
      </w:tc>
      <w:tc>
        <w:tcPr>
          <w:tcW w:w="588" w:type="pct"/>
          <w:shd w:val="clear" w:color="auto" w:fill="auto"/>
          <w:tcMar>
            <w:top w:w="0" w:type="dxa"/>
          </w:tcMar>
        </w:tcPr>
        <w:p w:rsidR="00EA6097" w:rsidRPr="00B310DC" w:rsidRDefault="00756824" w:rsidP="00D94637">
          <w:pPr>
            <w:pStyle w:val="FooterText"/>
            <w:jc w:val="right"/>
          </w:pPr>
          <w:r>
            <w:fldChar w:fldCharType="begin"/>
          </w:r>
          <w:r w:rsidR="00EA6097">
            <w:instrText xml:space="preserve"> PAGE  \* MERGEFORMAT </w:instrText>
          </w:r>
          <w:r>
            <w:fldChar w:fldCharType="separate"/>
          </w:r>
          <w:r w:rsidR="003753CD">
            <w:rPr>
              <w:noProof/>
            </w:rPr>
            <w:t>2</w:t>
          </w:r>
          <w:r>
            <w:fldChar w:fldCharType="end"/>
          </w:r>
        </w:p>
      </w:tc>
    </w:tr>
    <w:tr w:rsidR="00EA6097" w:rsidRPr="00D94637" w:rsidTr="00EA6097">
      <w:trPr>
        <w:jc w:val="center"/>
      </w:trPr>
      <w:tc>
        <w:tcPr>
          <w:tcW w:w="1774" w:type="pct"/>
          <w:shd w:val="clear" w:color="auto" w:fill="auto"/>
        </w:tcPr>
        <w:p w:rsidR="00EA6097" w:rsidRPr="00AD7BF2" w:rsidRDefault="00EA6097" w:rsidP="00D94637">
          <w:pPr>
            <w:pStyle w:val="FooterText"/>
            <w:spacing w:before="40"/>
          </w:pPr>
        </w:p>
      </w:tc>
      <w:tc>
        <w:tcPr>
          <w:tcW w:w="1455" w:type="pct"/>
          <w:gridSpan w:val="3"/>
          <w:shd w:val="clear" w:color="auto" w:fill="auto"/>
        </w:tcPr>
        <w:p w:rsidR="00EA6097" w:rsidRPr="00AD7BF2" w:rsidRDefault="00EA6097" w:rsidP="00D204D6">
          <w:pPr>
            <w:pStyle w:val="FooterText"/>
            <w:spacing w:before="40"/>
            <w:jc w:val="center"/>
          </w:pPr>
          <w:r>
            <w:t>DG E 2 A</w:t>
          </w:r>
        </w:p>
      </w:tc>
      <w:tc>
        <w:tcPr>
          <w:tcW w:w="1147" w:type="pct"/>
          <w:shd w:val="clear" w:color="auto" w:fill="auto"/>
        </w:tcPr>
        <w:p w:rsidR="00EA6097" w:rsidRPr="00D94637" w:rsidRDefault="00EA6097" w:rsidP="00D94637">
          <w:pPr>
            <w:pStyle w:val="FooterText"/>
            <w:jc w:val="right"/>
            <w:rPr>
              <w:b/>
              <w:position w:val="-4"/>
              <w:sz w:val="36"/>
            </w:rPr>
          </w:pPr>
          <w:r>
            <w:rPr>
              <w:b/>
              <w:position w:val="-4"/>
              <w:sz w:val="36"/>
            </w:rPr>
            <w:t>LIMITE</w:t>
          </w:r>
        </w:p>
      </w:tc>
      <w:tc>
        <w:tcPr>
          <w:tcW w:w="625" w:type="pct"/>
          <w:gridSpan w:val="2"/>
          <w:shd w:val="clear" w:color="auto" w:fill="auto"/>
        </w:tcPr>
        <w:p w:rsidR="00EA6097" w:rsidRPr="00D94637" w:rsidRDefault="00EA6097" w:rsidP="00D94637">
          <w:pPr>
            <w:pStyle w:val="FooterText"/>
            <w:jc w:val="right"/>
            <w:rPr>
              <w:sz w:val="16"/>
            </w:rPr>
          </w:pPr>
          <w:r>
            <w:rPr>
              <w:b/>
              <w:position w:val="-4"/>
              <w:sz w:val="36"/>
            </w:rPr>
            <w:t>EN</w:t>
          </w:r>
        </w:p>
      </w:tc>
    </w:tr>
    <w:bookmarkEnd w:id="3"/>
  </w:tbl>
  <w:p w:rsidR="00AD2A6C" w:rsidRPr="00EA6097" w:rsidRDefault="00AD2A6C" w:rsidP="00EA6097">
    <w:pPr>
      <w:pStyle w:val="FooterCounci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EA6097" w:rsidRPr="00D94637" w:rsidTr="00EA6097">
      <w:trPr>
        <w:jc w:val="center"/>
      </w:trPr>
      <w:tc>
        <w:tcPr>
          <w:tcW w:w="5000" w:type="pct"/>
          <w:gridSpan w:val="7"/>
          <w:shd w:val="clear" w:color="auto" w:fill="auto"/>
          <w:tcMar>
            <w:top w:w="57" w:type="dxa"/>
          </w:tcMar>
        </w:tcPr>
        <w:p w:rsidR="00EA6097" w:rsidRPr="00D94637" w:rsidRDefault="00EA6097" w:rsidP="00D94637">
          <w:pPr>
            <w:pStyle w:val="FooterText"/>
            <w:pBdr>
              <w:top w:val="single" w:sz="4" w:space="1" w:color="auto"/>
            </w:pBdr>
            <w:spacing w:before="200"/>
            <w:rPr>
              <w:sz w:val="2"/>
              <w:szCs w:val="2"/>
            </w:rPr>
          </w:pPr>
        </w:p>
      </w:tc>
    </w:tr>
    <w:tr w:rsidR="00EA6097" w:rsidRPr="00B310DC" w:rsidTr="00EA6097">
      <w:trPr>
        <w:jc w:val="center"/>
      </w:trPr>
      <w:tc>
        <w:tcPr>
          <w:tcW w:w="2500" w:type="pct"/>
          <w:gridSpan w:val="2"/>
          <w:shd w:val="clear" w:color="auto" w:fill="auto"/>
          <w:tcMar>
            <w:top w:w="0" w:type="dxa"/>
          </w:tcMar>
        </w:tcPr>
        <w:p w:rsidR="00EA6097" w:rsidRPr="00AD7BF2" w:rsidRDefault="00EA6097" w:rsidP="004F54B2">
          <w:pPr>
            <w:pStyle w:val="FooterText"/>
          </w:pPr>
          <w:r>
            <w:t>10579/16</w:t>
          </w:r>
          <w:r w:rsidRPr="002511D8">
            <w:t xml:space="preserve"> </w:t>
          </w:r>
        </w:p>
      </w:tc>
      <w:tc>
        <w:tcPr>
          <w:tcW w:w="625" w:type="pct"/>
          <w:shd w:val="clear" w:color="auto" w:fill="auto"/>
          <w:tcMar>
            <w:top w:w="0" w:type="dxa"/>
          </w:tcMar>
        </w:tcPr>
        <w:p w:rsidR="00EA6097" w:rsidRPr="00AD7BF2" w:rsidRDefault="00EA6097" w:rsidP="00D94637">
          <w:pPr>
            <w:pStyle w:val="FooterText"/>
            <w:jc w:val="center"/>
          </w:pPr>
        </w:p>
      </w:tc>
      <w:tc>
        <w:tcPr>
          <w:tcW w:w="1287" w:type="pct"/>
          <w:gridSpan w:val="3"/>
          <w:shd w:val="clear" w:color="auto" w:fill="auto"/>
          <w:tcMar>
            <w:top w:w="0" w:type="dxa"/>
          </w:tcMar>
        </w:tcPr>
        <w:p w:rsidR="00EA6097" w:rsidRPr="002511D8" w:rsidRDefault="00EA6097" w:rsidP="00D94637">
          <w:pPr>
            <w:pStyle w:val="FooterText"/>
            <w:jc w:val="center"/>
          </w:pPr>
          <w:r>
            <w:t>AV/</w:t>
          </w:r>
          <w:proofErr w:type="spellStart"/>
          <w:r>
            <w:t>il</w:t>
          </w:r>
          <w:proofErr w:type="spellEnd"/>
        </w:p>
      </w:tc>
      <w:tc>
        <w:tcPr>
          <w:tcW w:w="588" w:type="pct"/>
          <w:shd w:val="clear" w:color="auto" w:fill="auto"/>
          <w:tcMar>
            <w:top w:w="0" w:type="dxa"/>
          </w:tcMar>
        </w:tcPr>
        <w:p w:rsidR="00EA6097" w:rsidRPr="00B310DC" w:rsidRDefault="00756824" w:rsidP="00D94637">
          <w:pPr>
            <w:pStyle w:val="FooterText"/>
            <w:jc w:val="right"/>
          </w:pPr>
          <w:r>
            <w:fldChar w:fldCharType="begin"/>
          </w:r>
          <w:r w:rsidR="00EA6097">
            <w:instrText xml:space="preserve"> PAGE  \* MERGEFORMAT </w:instrText>
          </w:r>
          <w:r>
            <w:fldChar w:fldCharType="separate"/>
          </w:r>
          <w:r w:rsidR="003753CD">
            <w:rPr>
              <w:noProof/>
            </w:rPr>
            <w:t>1</w:t>
          </w:r>
          <w:r>
            <w:fldChar w:fldCharType="end"/>
          </w:r>
        </w:p>
      </w:tc>
    </w:tr>
    <w:tr w:rsidR="00EA6097" w:rsidRPr="00D94637" w:rsidTr="00EA6097">
      <w:trPr>
        <w:jc w:val="center"/>
      </w:trPr>
      <w:tc>
        <w:tcPr>
          <w:tcW w:w="1774" w:type="pct"/>
          <w:shd w:val="clear" w:color="auto" w:fill="auto"/>
        </w:tcPr>
        <w:p w:rsidR="00EA6097" w:rsidRPr="00AD7BF2" w:rsidRDefault="00EA6097" w:rsidP="00D94637">
          <w:pPr>
            <w:pStyle w:val="FooterText"/>
            <w:spacing w:before="40"/>
          </w:pPr>
        </w:p>
      </w:tc>
      <w:tc>
        <w:tcPr>
          <w:tcW w:w="1455" w:type="pct"/>
          <w:gridSpan w:val="3"/>
          <w:shd w:val="clear" w:color="auto" w:fill="auto"/>
        </w:tcPr>
        <w:p w:rsidR="00EA6097" w:rsidRPr="00AD7BF2" w:rsidRDefault="00EA6097" w:rsidP="00D204D6">
          <w:pPr>
            <w:pStyle w:val="FooterText"/>
            <w:spacing w:before="40"/>
            <w:jc w:val="center"/>
          </w:pPr>
          <w:r>
            <w:t>DG E 2 A</w:t>
          </w:r>
        </w:p>
      </w:tc>
      <w:tc>
        <w:tcPr>
          <w:tcW w:w="1147" w:type="pct"/>
          <w:shd w:val="clear" w:color="auto" w:fill="auto"/>
        </w:tcPr>
        <w:p w:rsidR="00EA6097" w:rsidRPr="00D94637" w:rsidRDefault="00EA6097" w:rsidP="00D94637">
          <w:pPr>
            <w:pStyle w:val="FooterText"/>
            <w:jc w:val="right"/>
            <w:rPr>
              <w:b/>
              <w:position w:val="-4"/>
              <w:sz w:val="36"/>
            </w:rPr>
          </w:pPr>
          <w:r>
            <w:rPr>
              <w:b/>
              <w:position w:val="-4"/>
              <w:sz w:val="36"/>
            </w:rPr>
            <w:t>LIMITE</w:t>
          </w:r>
        </w:p>
      </w:tc>
      <w:tc>
        <w:tcPr>
          <w:tcW w:w="625" w:type="pct"/>
          <w:gridSpan w:val="2"/>
          <w:shd w:val="clear" w:color="auto" w:fill="auto"/>
        </w:tcPr>
        <w:p w:rsidR="00EA6097" w:rsidRPr="00D94637" w:rsidRDefault="00EA6097" w:rsidP="00D94637">
          <w:pPr>
            <w:pStyle w:val="FooterText"/>
            <w:jc w:val="right"/>
            <w:rPr>
              <w:sz w:val="16"/>
            </w:rPr>
          </w:pPr>
          <w:r>
            <w:rPr>
              <w:b/>
              <w:position w:val="-4"/>
              <w:sz w:val="36"/>
            </w:rPr>
            <w:t>EN</w:t>
          </w:r>
        </w:p>
      </w:tc>
    </w:tr>
  </w:tbl>
  <w:p w:rsidR="00AD2A6C" w:rsidRPr="00EA6097" w:rsidRDefault="00AD2A6C" w:rsidP="00EA6097">
    <w:pPr>
      <w:pStyle w:val="FooterCounci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EA6097" w:rsidRPr="00D94637" w:rsidTr="00EA6097">
      <w:trPr>
        <w:jc w:val="center"/>
      </w:trPr>
      <w:tc>
        <w:tcPr>
          <w:tcW w:w="5000" w:type="pct"/>
          <w:gridSpan w:val="7"/>
          <w:shd w:val="clear" w:color="auto" w:fill="auto"/>
          <w:tcMar>
            <w:top w:w="57" w:type="dxa"/>
          </w:tcMar>
        </w:tcPr>
        <w:p w:rsidR="00EA6097" w:rsidRPr="00D94637" w:rsidRDefault="00EA6097" w:rsidP="00D94637">
          <w:pPr>
            <w:pStyle w:val="FooterText"/>
            <w:pBdr>
              <w:top w:val="single" w:sz="4" w:space="1" w:color="auto"/>
            </w:pBdr>
            <w:spacing w:before="200"/>
            <w:rPr>
              <w:sz w:val="2"/>
              <w:szCs w:val="2"/>
            </w:rPr>
          </w:pPr>
        </w:p>
      </w:tc>
    </w:tr>
    <w:tr w:rsidR="00EA6097" w:rsidRPr="00B310DC" w:rsidTr="00EA6097">
      <w:trPr>
        <w:jc w:val="center"/>
      </w:trPr>
      <w:tc>
        <w:tcPr>
          <w:tcW w:w="2500" w:type="pct"/>
          <w:gridSpan w:val="2"/>
          <w:shd w:val="clear" w:color="auto" w:fill="auto"/>
          <w:tcMar>
            <w:top w:w="0" w:type="dxa"/>
          </w:tcMar>
        </w:tcPr>
        <w:p w:rsidR="00EA6097" w:rsidRPr="00AD7BF2" w:rsidRDefault="00EA6097" w:rsidP="004F54B2">
          <w:pPr>
            <w:pStyle w:val="FooterText"/>
          </w:pPr>
          <w:r>
            <w:t>10579/16</w:t>
          </w:r>
          <w:r w:rsidRPr="002511D8">
            <w:t xml:space="preserve"> </w:t>
          </w:r>
        </w:p>
      </w:tc>
      <w:tc>
        <w:tcPr>
          <w:tcW w:w="625" w:type="pct"/>
          <w:shd w:val="clear" w:color="auto" w:fill="auto"/>
          <w:tcMar>
            <w:top w:w="0" w:type="dxa"/>
          </w:tcMar>
        </w:tcPr>
        <w:p w:rsidR="00EA6097" w:rsidRPr="00AD7BF2" w:rsidRDefault="00EA6097" w:rsidP="00D94637">
          <w:pPr>
            <w:pStyle w:val="FooterText"/>
            <w:jc w:val="center"/>
          </w:pPr>
        </w:p>
      </w:tc>
      <w:tc>
        <w:tcPr>
          <w:tcW w:w="1287" w:type="pct"/>
          <w:gridSpan w:val="3"/>
          <w:shd w:val="clear" w:color="auto" w:fill="auto"/>
          <w:tcMar>
            <w:top w:w="0" w:type="dxa"/>
          </w:tcMar>
        </w:tcPr>
        <w:p w:rsidR="00EA6097" w:rsidRPr="002511D8" w:rsidRDefault="00EA6097" w:rsidP="00D94637">
          <w:pPr>
            <w:pStyle w:val="FooterText"/>
            <w:jc w:val="center"/>
          </w:pPr>
          <w:r>
            <w:t>AV/</w:t>
          </w:r>
          <w:proofErr w:type="spellStart"/>
          <w:r>
            <w:t>il</w:t>
          </w:r>
          <w:proofErr w:type="spellEnd"/>
        </w:p>
      </w:tc>
      <w:tc>
        <w:tcPr>
          <w:tcW w:w="588" w:type="pct"/>
          <w:shd w:val="clear" w:color="auto" w:fill="auto"/>
          <w:tcMar>
            <w:top w:w="0" w:type="dxa"/>
          </w:tcMar>
        </w:tcPr>
        <w:p w:rsidR="00EA6097" w:rsidRPr="00B310DC" w:rsidRDefault="00756824" w:rsidP="00D94637">
          <w:pPr>
            <w:pStyle w:val="FooterText"/>
            <w:jc w:val="right"/>
          </w:pPr>
          <w:r>
            <w:fldChar w:fldCharType="begin"/>
          </w:r>
          <w:r w:rsidR="00EA6097">
            <w:instrText xml:space="preserve"> PAGE  \* MERGEFORMAT </w:instrText>
          </w:r>
          <w:r>
            <w:fldChar w:fldCharType="separate"/>
          </w:r>
          <w:r w:rsidR="003753CD">
            <w:rPr>
              <w:noProof/>
            </w:rPr>
            <w:t>4</w:t>
          </w:r>
          <w:r>
            <w:fldChar w:fldCharType="end"/>
          </w:r>
        </w:p>
      </w:tc>
    </w:tr>
    <w:tr w:rsidR="00EA6097" w:rsidRPr="00D94637" w:rsidTr="00EA6097">
      <w:trPr>
        <w:jc w:val="center"/>
      </w:trPr>
      <w:tc>
        <w:tcPr>
          <w:tcW w:w="1774" w:type="pct"/>
          <w:shd w:val="clear" w:color="auto" w:fill="auto"/>
        </w:tcPr>
        <w:p w:rsidR="00EA6097" w:rsidRPr="00AD7BF2" w:rsidRDefault="00EA6097" w:rsidP="00D94637">
          <w:pPr>
            <w:pStyle w:val="FooterText"/>
            <w:spacing w:before="40"/>
          </w:pPr>
          <w:r>
            <w:t>ANNEX</w:t>
          </w:r>
        </w:p>
      </w:tc>
      <w:tc>
        <w:tcPr>
          <w:tcW w:w="1455" w:type="pct"/>
          <w:gridSpan w:val="3"/>
          <w:shd w:val="clear" w:color="auto" w:fill="auto"/>
        </w:tcPr>
        <w:p w:rsidR="00EA6097" w:rsidRPr="00AD7BF2" w:rsidRDefault="00EA6097" w:rsidP="00D204D6">
          <w:pPr>
            <w:pStyle w:val="FooterText"/>
            <w:spacing w:before="40"/>
            <w:jc w:val="center"/>
          </w:pPr>
          <w:r>
            <w:t>DG E 2 A</w:t>
          </w:r>
        </w:p>
      </w:tc>
      <w:tc>
        <w:tcPr>
          <w:tcW w:w="1147" w:type="pct"/>
          <w:shd w:val="clear" w:color="auto" w:fill="auto"/>
        </w:tcPr>
        <w:p w:rsidR="00EA6097" w:rsidRPr="00D94637" w:rsidRDefault="00EA6097" w:rsidP="00D94637">
          <w:pPr>
            <w:pStyle w:val="FooterText"/>
            <w:jc w:val="right"/>
            <w:rPr>
              <w:b/>
              <w:position w:val="-4"/>
              <w:sz w:val="36"/>
            </w:rPr>
          </w:pPr>
          <w:r>
            <w:rPr>
              <w:b/>
              <w:position w:val="-4"/>
              <w:sz w:val="36"/>
            </w:rPr>
            <w:t>LIMITE</w:t>
          </w:r>
        </w:p>
      </w:tc>
      <w:tc>
        <w:tcPr>
          <w:tcW w:w="625" w:type="pct"/>
          <w:gridSpan w:val="2"/>
          <w:shd w:val="clear" w:color="auto" w:fill="auto"/>
        </w:tcPr>
        <w:p w:rsidR="00EA6097" w:rsidRPr="00D94637" w:rsidRDefault="00EA6097" w:rsidP="00D94637">
          <w:pPr>
            <w:pStyle w:val="FooterText"/>
            <w:jc w:val="right"/>
            <w:rPr>
              <w:sz w:val="16"/>
            </w:rPr>
          </w:pPr>
          <w:r>
            <w:rPr>
              <w:b/>
              <w:position w:val="-4"/>
              <w:sz w:val="36"/>
            </w:rPr>
            <w:t>EN</w:t>
          </w:r>
        </w:p>
      </w:tc>
    </w:tr>
  </w:tbl>
  <w:p w:rsidR="00AD2A6C" w:rsidRPr="00EA6097" w:rsidRDefault="00AD2A6C" w:rsidP="00EA6097">
    <w:pPr>
      <w:pStyle w:val="FooterCounci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D6" w:rsidRDefault="002050D6" w:rsidP="00484E10">
      <w:pPr>
        <w:spacing w:before="0" w:after="0" w:line="240" w:lineRule="auto"/>
      </w:pPr>
      <w:r>
        <w:separator/>
      </w:r>
    </w:p>
  </w:footnote>
  <w:footnote w:type="continuationSeparator" w:id="0">
    <w:p w:rsidR="002050D6" w:rsidRDefault="002050D6" w:rsidP="00484E10">
      <w:pPr>
        <w:spacing w:before="0" w:after="0" w:line="240" w:lineRule="auto"/>
      </w:pPr>
      <w:r>
        <w:continuationSeparator/>
      </w:r>
    </w:p>
  </w:footnote>
  <w:footnote w:id="1">
    <w:p w:rsidR="00AD2A6C" w:rsidRPr="001D3FF4" w:rsidRDefault="00AD2A6C" w:rsidP="00F15CD6">
      <w:pPr>
        <w:pStyle w:val="Fotnotetekst"/>
        <w:jc w:val="both"/>
      </w:pPr>
      <w:r w:rsidRPr="001D3FF4">
        <w:rPr>
          <w:rStyle w:val="Fotnotereferanse"/>
        </w:rPr>
        <w:footnoteRef/>
      </w:r>
      <w:r w:rsidRPr="001D3FF4">
        <w:tab/>
        <w:t>The proposal was accompanied by a communication from the Commission, "Ports: an engine for growth" (doc. 10160/13).</w:t>
      </w:r>
    </w:p>
  </w:footnote>
  <w:footnote w:id="2">
    <w:p w:rsidR="00AD2A6C" w:rsidRPr="001D3FF4" w:rsidRDefault="00AD2A6C" w:rsidP="00592014">
      <w:pPr>
        <w:pStyle w:val="Fotnotetekst"/>
      </w:pPr>
      <w:r w:rsidRPr="001D3FF4">
        <w:rPr>
          <w:rStyle w:val="Fotnotereferanse"/>
        </w:rPr>
        <w:footnoteRef/>
      </w:r>
      <w:r w:rsidRPr="001D3FF4">
        <w:tab/>
        <w:t>Doc. 8406/13 + COR 1.</w:t>
      </w:r>
    </w:p>
  </w:footnote>
  <w:footnote w:id="3">
    <w:p w:rsidR="00AD2A6C" w:rsidRPr="001D3FF4" w:rsidRDefault="00AD2A6C">
      <w:pPr>
        <w:pStyle w:val="Fotnotetekst"/>
      </w:pPr>
      <w:r w:rsidRPr="001D3FF4">
        <w:rPr>
          <w:rStyle w:val="Fotnotereferanse"/>
        </w:rPr>
        <w:footnoteRef/>
      </w:r>
      <w:r w:rsidRPr="001D3FF4">
        <w:t xml:space="preserve"> </w:t>
      </w:r>
      <w:r w:rsidRPr="001D3FF4">
        <w:tab/>
        <w:t>OJ C 327, 12.11.2013, p. 111.</w:t>
      </w:r>
    </w:p>
  </w:footnote>
  <w:footnote w:id="4">
    <w:p w:rsidR="00AD2A6C" w:rsidRPr="001D3FF4" w:rsidRDefault="00AD2A6C" w:rsidP="008C0E1B">
      <w:pPr>
        <w:pStyle w:val="Fotnotetekst"/>
      </w:pPr>
      <w:r w:rsidRPr="001D3FF4">
        <w:rPr>
          <w:rStyle w:val="Fotnotereferanse"/>
        </w:rPr>
        <w:footnoteRef/>
      </w:r>
      <w:r w:rsidRPr="001D3FF4">
        <w:t xml:space="preserve"> </w:t>
      </w:r>
      <w:r w:rsidRPr="001D3FF4">
        <w:tab/>
        <w:t>OJ C 114, 15.4.2014, p. 57</w:t>
      </w:r>
      <w:r w:rsidRPr="001D3FF4">
        <w:rPr>
          <w:rStyle w:val="Normal1"/>
        </w:rPr>
        <w:t>.</w:t>
      </w:r>
    </w:p>
  </w:footnote>
  <w:footnote w:id="5">
    <w:p w:rsidR="00AD2A6C" w:rsidRPr="001D3FF4" w:rsidRDefault="00AD2A6C">
      <w:pPr>
        <w:pStyle w:val="Fotnotetekst"/>
      </w:pPr>
      <w:r w:rsidRPr="001D3FF4">
        <w:rPr>
          <w:rStyle w:val="Fotnotereferanse"/>
        </w:rPr>
        <w:footnoteRef/>
      </w:r>
      <w:r w:rsidRPr="001D3FF4">
        <w:t xml:space="preserve"> </w:t>
      </w:r>
      <w:r w:rsidRPr="001D3FF4">
        <w:tab/>
      </w:r>
      <w:r w:rsidRPr="001D3FF4">
        <w:rPr>
          <w:bCs/>
          <w:iCs/>
        </w:rPr>
        <w:t>Regulation (EU) No 1315/2013 of the European Parliament and of the Council of 11 December 2013 on Union guidelines for the development of the trans-European transport network and repealing Decision No 661/2010/EU (OJ L 348, 20.12.2013, p. 1).</w:t>
      </w:r>
    </w:p>
  </w:footnote>
  <w:footnote w:id="6">
    <w:p w:rsidR="00AD2A6C" w:rsidRPr="001D3FF4" w:rsidRDefault="00AD2A6C" w:rsidP="007E59E1">
      <w:pPr>
        <w:pStyle w:val="Fotnotetekst"/>
      </w:pPr>
      <w:r w:rsidRPr="001D3FF4">
        <w:rPr>
          <w:rStyle w:val="Fotnotereferanse"/>
        </w:rPr>
        <w:footnoteRef/>
      </w:r>
      <w:r w:rsidRPr="001D3FF4">
        <w:t xml:space="preserve"> </w:t>
      </w:r>
      <w:r w:rsidRPr="001D3FF4">
        <w:tab/>
        <w:t>Agreed recital related to this article: "</w:t>
      </w:r>
      <w:r w:rsidRPr="001D3FF4">
        <w:rPr>
          <w:bCs/>
          <w:lang w:eastAsia="de-DE"/>
        </w:rPr>
        <w:t>This Regulation should in no way prejudice the rules in Member States governing the system of property ownership with regard to maritime ports,</w:t>
      </w:r>
      <w:r w:rsidRPr="001D3FF4">
        <w:rPr>
          <w:b/>
          <w:lang w:eastAsia="de-DE"/>
        </w:rPr>
        <w:t xml:space="preserve"> </w:t>
      </w:r>
      <w:r w:rsidRPr="001D3FF4">
        <w:rPr>
          <w:lang w:eastAsia="de-DE"/>
        </w:rPr>
        <w:t>and should allow for different port structures in Member States."</w:t>
      </w:r>
    </w:p>
  </w:footnote>
  <w:footnote w:id="7">
    <w:p w:rsidR="00AD2A6C" w:rsidRPr="001D3FF4" w:rsidRDefault="00AD2A6C">
      <w:pPr>
        <w:pStyle w:val="Fotnotetekst"/>
      </w:pPr>
      <w:r w:rsidRPr="001D3FF4">
        <w:rPr>
          <w:rStyle w:val="Fotnotereferanse"/>
        </w:rPr>
        <w:footnoteRef/>
      </w:r>
      <w:r w:rsidRPr="001D3FF4">
        <w:t xml:space="preserve"> </w:t>
      </w:r>
      <w:r w:rsidRPr="001D3FF4">
        <w:tab/>
        <w:t>Directive 2014/23/EU of the European Parliament and of the Council of 26 February 2014 on the award of concession contracts (OJ L 94, 28.3.2014, p. 1).</w:t>
      </w:r>
    </w:p>
  </w:footnote>
  <w:footnote w:id="8">
    <w:p w:rsidR="00AD2A6C" w:rsidRPr="001D3FF4" w:rsidRDefault="00AD2A6C">
      <w:pPr>
        <w:pStyle w:val="Fotnotetekst"/>
      </w:pPr>
      <w:r w:rsidRPr="001D3FF4">
        <w:rPr>
          <w:rStyle w:val="Fotnotereferanse"/>
        </w:rPr>
        <w:footnoteRef/>
      </w:r>
      <w:r w:rsidRPr="001D3FF4">
        <w:t xml:space="preserve"> </w:t>
      </w:r>
      <w:r w:rsidRPr="001D3FF4">
        <w:tab/>
      </w:r>
      <w:r w:rsidRPr="001D3FF4">
        <w:rPr>
          <w:rStyle w:val="Sterk"/>
          <w:b w:val="0"/>
          <w:bCs w:val="0"/>
        </w:rPr>
        <w:t>Directive 2014/24/EU of the European Parliament and of the Council of 26 February 2014 on public procurement and repealing Directive 2004/18/EC (OJ L 94, 28.3/2014, p. 65).</w:t>
      </w:r>
    </w:p>
  </w:footnote>
  <w:footnote w:id="9">
    <w:p w:rsidR="00AD2A6C" w:rsidRPr="001D3FF4" w:rsidRDefault="00AD2A6C" w:rsidP="0025008F">
      <w:pPr>
        <w:pStyle w:val="Fotnotetekst"/>
      </w:pPr>
      <w:r w:rsidRPr="001D3FF4">
        <w:rPr>
          <w:rStyle w:val="Fotnotereferanse"/>
        </w:rPr>
        <w:footnoteRef/>
      </w:r>
      <w:r w:rsidRPr="001D3FF4">
        <w:t xml:space="preserve"> </w:t>
      </w:r>
      <w:r w:rsidRPr="001D3FF4">
        <w:tab/>
      </w:r>
      <w:r w:rsidR="0025008F">
        <w:t>Agreed r</w:t>
      </w:r>
      <w:r w:rsidRPr="001D3FF4">
        <w:t>ecital related to this definition: "This Regulation should not limit the managing body of the port, or the competent authority, in setting up its charging system, as long as port infrastructure charges paid by the operators of waterborne vessels or cargo owners are transparent</w:t>
      </w:r>
      <w:r w:rsidRPr="001D3FF4">
        <w:rPr>
          <w:b/>
          <w:bCs/>
          <w:u w:val="single"/>
        </w:rPr>
        <w:t>, in particular easily identifiable</w:t>
      </w:r>
      <w:r w:rsidRPr="001D3FF4">
        <w:t xml:space="preserve">, non-discriminatory </w:t>
      </w:r>
      <w:r w:rsidRPr="001D3FF4">
        <w:rPr>
          <w:strike/>
        </w:rPr>
        <w:t>and easily identifiable</w:t>
      </w:r>
      <w:r w:rsidRPr="001D3FF4">
        <w:t xml:space="preserve"> and contribute to the maintenance and development of infrastructure and service facilities and the provision of services that are needed to perform or facilitate transport operations within the port area and on the waterways giving access to those ports that fall within the legal competence of the managing body of the port."</w:t>
      </w:r>
    </w:p>
  </w:footnote>
  <w:footnote w:id="10">
    <w:p w:rsidR="00AD2A6C" w:rsidRPr="001D3FF4" w:rsidRDefault="00AD2A6C">
      <w:pPr>
        <w:pStyle w:val="Fotnotetekst"/>
      </w:pPr>
      <w:r w:rsidRPr="001D3FF4">
        <w:rPr>
          <w:rStyle w:val="Fotnotereferanse"/>
        </w:rPr>
        <w:footnoteRef/>
      </w:r>
      <w:r w:rsidRPr="001D3FF4">
        <w:t xml:space="preserve"> </w:t>
      </w:r>
      <w:r w:rsidRPr="001D3FF4">
        <w:tab/>
      </w:r>
      <w:r w:rsidRPr="001D3FF4">
        <w:rPr>
          <w:iCs/>
          <w:lang w:eastAsia="de-DE"/>
        </w:rPr>
        <w:t>Directive 2000/59/EC of the European Parliament and of the Council of 27 November 2000 on port reception facilities for ship-generated waste and cargo residues (</w:t>
      </w:r>
      <w:r w:rsidRPr="001D3FF4">
        <w:rPr>
          <w:lang w:eastAsia="de-DE"/>
        </w:rPr>
        <w:t>OJ L 332, 28.12.2000, p. 81</w:t>
      </w:r>
      <w:r w:rsidRPr="001D3FF4">
        <w:rPr>
          <w:iCs/>
          <w:lang w:eastAsia="de-DE"/>
        </w:rPr>
        <w:t>)</w:t>
      </w:r>
      <w:r w:rsidRPr="001D3FF4">
        <w:rPr>
          <w:lang w:eastAsia="de-DE"/>
        </w:rPr>
        <w:t>.</w:t>
      </w:r>
    </w:p>
  </w:footnote>
  <w:footnote w:id="11">
    <w:p w:rsidR="00AD2A6C" w:rsidRPr="001D3FF4" w:rsidRDefault="00AD2A6C">
      <w:pPr>
        <w:pStyle w:val="Fotnotetekst"/>
      </w:pPr>
      <w:r w:rsidRPr="001D3FF4">
        <w:rPr>
          <w:rStyle w:val="Fotnotereferanse"/>
        </w:rPr>
        <w:footnoteRef/>
      </w:r>
      <w:r w:rsidRPr="001D3FF4">
        <w:t xml:space="preserve"> </w:t>
      </w:r>
      <w:r w:rsidRPr="001D3FF4">
        <w:tab/>
      </w:r>
      <w:r w:rsidR="0025008F">
        <w:t>Agreed recital</w:t>
      </w:r>
      <w:r w:rsidRPr="001D3FF4">
        <w:t xml:space="preserve"> related to this article: "</w:t>
      </w:r>
      <w:r w:rsidRPr="001D3FF4">
        <w:rPr>
          <w:lang w:eastAsia="de-DE"/>
        </w:rPr>
        <w:t>In line with the general principles set out in the Treaties, providers of port services should be free to provide their services in maritime ports covered by this Regulation. However, it should be possible to subject that freedom to certain conditions."</w:t>
      </w:r>
    </w:p>
  </w:footnote>
  <w:footnote w:id="12">
    <w:p w:rsidR="00AD2A6C" w:rsidRPr="001D3FF4" w:rsidRDefault="00AD2A6C" w:rsidP="0025008F">
      <w:pPr>
        <w:pStyle w:val="Fotnotetekst"/>
      </w:pPr>
      <w:r w:rsidRPr="001D3FF4">
        <w:rPr>
          <w:rStyle w:val="Fotnotereferanse"/>
        </w:rPr>
        <w:footnoteRef/>
      </w:r>
      <w:r w:rsidRPr="001D3FF4">
        <w:t xml:space="preserve"> </w:t>
      </w:r>
      <w:r w:rsidRPr="001D3FF4">
        <w:tab/>
      </w:r>
      <w:r w:rsidR="0025008F">
        <w:t>Agreed recital</w:t>
      </w:r>
      <w:r w:rsidRPr="001D3FF4">
        <w:t xml:space="preserve"> related to this provision: "</w:t>
      </w:r>
      <w:r w:rsidRPr="001D3FF4">
        <w:rPr>
          <w:b/>
          <w:bCs/>
          <w:u w:val="single"/>
        </w:rPr>
        <w:t xml:space="preserve">Member States should be able to require compliance with obligations in the field of social and labour law for </w:t>
      </w:r>
      <w:r w:rsidR="0025008F">
        <w:rPr>
          <w:b/>
          <w:bCs/>
          <w:u w:val="single"/>
        </w:rPr>
        <w:t>the operation of</w:t>
      </w:r>
      <w:r w:rsidRPr="001D3FF4">
        <w:rPr>
          <w:b/>
          <w:bCs/>
          <w:u w:val="single"/>
        </w:rPr>
        <w:t xml:space="preserve"> port services in the port concerned.</w:t>
      </w:r>
      <w:r w:rsidRPr="001D3FF4">
        <w:t>"</w:t>
      </w:r>
    </w:p>
  </w:footnote>
  <w:footnote w:id="13">
    <w:p w:rsidR="00AD2A6C" w:rsidRPr="001D3FF4" w:rsidRDefault="00AD2A6C">
      <w:pPr>
        <w:pStyle w:val="Fotnotetekst"/>
      </w:pPr>
      <w:r w:rsidRPr="001D3FF4">
        <w:rPr>
          <w:rStyle w:val="Fotnotereferanse"/>
        </w:rPr>
        <w:footnoteRef/>
      </w:r>
      <w:r w:rsidRPr="001D3FF4">
        <w:t xml:space="preserve"> </w:t>
      </w:r>
      <w:r w:rsidRPr="001D3FF4">
        <w:tab/>
      </w:r>
      <w:r w:rsidR="0025008F">
        <w:t>Agreed recital</w:t>
      </w:r>
      <w:r w:rsidRPr="001D3FF4">
        <w:t xml:space="preserve"> related to this provision: "</w:t>
      </w:r>
      <w:r w:rsidRPr="001D3FF4">
        <w:rPr>
          <w:iCs/>
          <w:lang w:eastAsia="de-DE"/>
        </w:rPr>
        <w:t xml:space="preserve">In </w:t>
      </w:r>
      <w:r w:rsidRPr="001D3FF4">
        <w:rPr>
          <w:bCs/>
          <w:iCs/>
          <w:lang w:eastAsia="de-DE"/>
        </w:rPr>
        <w:t>deciding w</w:t>
      </w:r>
      <w:r w:rsidRPr="001D3FF4">
        <w:rPr>
          <w:iCs/>
          <w:lang w:eastAsia="de-DE"/>
        </w:rPr>
        <w:t>hether a port service provider satisfies the requirements of good repute, the competent authority, or the managing body of the port, should consider whether there are any compelling grounds to doubt the reliability of the provider of port services, such as convictions or penalties for serious criminal offences, or serious infringements of applicable Union and national law."</w:t>
      </w:r>
    </w:p>
  </w:footnote>
  <w:footnote w:id="14">
    <w:p w:rsidR="00AD2A6C" w:rsidRPr="001D3FF4" w:rsidRDefault="00AD2A6C" w:rsidP="00B12165">
      <w:pPr>
        <w:pStyle w:val="Fotnotetekst"/>
      </w:pPr>
      <w:r w:rsidRPr="001D3FF4">
        <w:rPr>
          <w:rStyle w:val="Fotnotereferanse"/>
        </w:rPr>
        <w:footnoteRef/>
      </w:r>
      <w:r w:rsidRPr="001D3FF4">
        <w:t xml:space="preserve"> </w:t>
      </w:r>
      <w:r w:rsidRPr="001D3FF4">
        <w:tab/>
      </w:r>
      <w:r w:rsidR="0025008F">
        <w:t>Agreed recital</w:t>
      </w:r>
      <w:r w:rsidRPr="001D3FF4">
        <w:t xml:space="preserve"> related to this provision: "</w:t>
      </w:r>
      <w:r w:rsidRPr="001D3FF4">
        <w:rPr>
          <w:b/>
          <w:bCs/>
          <w:u w:val="single"/>
        </w:rPr>
        <w:t>Member States should inform the Commission prior to any decision to impose a flag requirement for vessels predominantly used for towage and mooring operations. Such a decision should be non-discriminatory, based on transparent and objective grounds and should not introduce disproportionate market barriers.</w:t>
      </w:r>
      <w:r w:rsidRPr="001D3FF4">
        <w:t>"</w:t>
      </w:r>
    </w:p>
  </w:footnote>
  <w:footnote w:id="15">
    <w:p w:rsidR="00AD2A6C" w:rsidRPr="001D3FF4" w:rsidRDefault="00AD2A6C" w:rsidP="003670B0">
      <w:pPr>
        <w:pStyle w:val="Fotnotetekst"/>
      </w:pPr>
      <w:r w:rsidRPr="001D3FF4">
        <w:rPr>
          <w:rStyle w:val="Fotnotereferanse"/>
        </w:rPr>
        <w:footnoteRef/>
      </w:r>
      <w:r w:rsidRPr="001D3FF4">
        <w:t xml:space="preserve"> </w:t>
      </w:r>
      <w:r w:rsidRPr="001D3FF4">
        <w:tab/>
      </w:r>
      <w:r w:rsidR="0025008F">
        <w:t>Agreed recital</w:t>
      </w:r>
      <w:r w:rsidRPr="001D3FF4">
        <w:t xml:space="preserve"> related to this provision: "</w:t>
      </w:r>
      <w:r w:rsidRPr="001D3FF4">
        <w:rPr>
          <w:bCs/>
          <w:lang w:eastAsia="de-DE"/>
        </w:rPr>
        <w:t>The</w:t>
      </w:r>
      <w:r w:rsidRPr="001D3FF4">
        <w:rPr>
          <w:bCs/>
          <w:iCs/>
          <w:lang w:eastAsia="de-DE"/>
        </w:rPr>
        <w:t xml:space="preserve"> minimum requirements should contribute to a high quality of port services and not introduce market barriers, in line with the general objectives of this Regulation."</w:t>
      </w:r>
    </w:p>
  </w:footnote>
  <w:footnote w:id="16">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bCs/>
          <w:i/>
          <w:iCs/>
          <w:lang w:eastAsia="de-DE"/>
        </w:rPr>
        <w:t>OJ: Please insert date: 24 months after the date of entry into force of this Regulation.</w:t>
      </w:r>
    </w:p>
  </w:footnote>
  <w:footnote w:id="17">
    <w:p w:rsidR="00AD2A6C" w:rsidRPr="001D3FF4" w:rsidRDefault="00AD2A6C">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article: "</w:t>
      </w:r>
      <w:r w:rsidRPr="001D3FF4">
        <w:rPr>
          <w:bCs/>
          <w:lang w:eastAsia="de-DE"/>
        </w:rPr>
        <w:t>This Regulation should be without prejudice to the right of Member States to impose public service obligations related to port services."</w:t>
      </w:r>
    </w:p>
  </w:footnote>
  <w:footnote w:id="18">
    <w:p w:rsidR="00AD2A6C" w:rsidRPr="001D3FF4" w:rsidRDefault="00AD2A6C" w:rsidP="008E1074">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provision: "</w:t>
      </w:r>
      <w:r w:rsidRPr="001D3FF4">
        <w:rPr>
          <w:iCs/>
          <w:lang w:eastAsia="de-DE"/>
        </w:rPr>
        <w:t>Any limitation to the number of providers of port services should be justified by clear and objective reasons and not introduce disproportionate market barriers."</w:t>
      </w:r>
    </w:p>
  </w:footnote>
  <w:footnote w:id="19">
    <w:p w:rsidR="00AD2A6C" w:rsidRPr="001D3FF4" w:rsidRDefault="00AD2A6C" w:rsidP="008E1074">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paragraph (selection procedure): "</w:t>
      </w:r>
      <w:r w:rsidRPr="001D3FF4">
        <w:rPr>
          <w:bCs/>
          <w:iCs/>
        </w:rPr>
        <w:t xml:space="preserve">The managing body of the port, or the competent authority, should publish its intention to conduct a selection procedure </w:t>
      </w:r>
      <w:r w:rsidRPr="001D3FF4">
        <w:rPr>
          <w:iCs/>
        </w:rPr>
        <w:t>for the provision of a port service, including on the internet and,</w:t>
      </w:r>
      <w:r w:rsidRPr="001D3FF4">
        <w:rPr>
          <w:bCs/>
          <w:iCs/>
        </w:rPr>
        <w:t xml:space="preserve"> where appropriate, in the Official Journal of the European Union, containing information on the selection procedure, the deadline for the submission of tenders, the relevant award criteria and information on how the relevant documents necessary to prepare an application can be accessed.</w:t>
      </w:r>
      <w:r>
        <w:rPr>
          <w:bCs/>
          <w:iCs/>
        </w:rPr>
        <w:t>"</w:t>
      </w:r>
    </w:p>
  </w:footnote>
  <w:footnote w:id="20">
    <w:p w:rsidR="00AD2A6C" w:rsidRPr="001D3FF4" w:rsidRDefault="00AD2A6C" w:rsidP="006977D5">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paragraph (substantial modification of a contract): "</w:t>
      </w:r>
      <w:r w:rsidRPr="001D3FF4">
        <w:rPr>
          <w:bCs/>
        </w:rPr>
        <w:t>In order to ensure transparency and equal treatment, amendments to the provisions of a contract during its term should be considered to constitute a new award of a contract when they render the contract materially different in character from the original contract and, therefore, such as to demonstrate the intention of the parties to renegotiate the essential terms of that contract."</w:t>
      </w:r>
    </w:p>
  </w:footnote>
  <w:footnote w:id="21">
    <w:p w:rsidR="00AD2A6C" w:rsidRPr="001D3FF4" w:rsidRDefault="00AD2A6C" w:rsidP="0025008F">
      <w:pPr>
        <w:pStyle w:val="Fotnotetekst"/>
        <w:rPr>
          <w:b/>
          <w:bCs/>
        </w:rPr>
      </w:pPr>
      <w:r w:rsidRPr="001D3FF4">
        <w:rPr>
          <w:rStyle w:val="Fotnotereferanse"/>
        </w:rPr>
        <w:footnoteRef/>
      </w:r>
      <w:r w:rsidRPr="001D3FF4">
        <w:t xml:space="preserve"> </w:t>
      </w:r>
      <w:r w:rsidRPr="001D3FF4">
        <w:tab/>
      </w:r>
      <w:r w:rsidR="0025008F">
        <w:t>Agreed r</w:t>
      </w:r>
      <w:r w:rsidRPr="001D3FF4">
        <w:t>edrafted version of recital 19: "</w:t>
      </w:r>
      <w:r w:rsidRPr="001D3FF4">
        <w:rPr>
          <w:lang w:eastAsia="de-DE"/>
        </w:rPr>
        <w:t xml:space="preserve">Member States should retain the power to ensure an adequate level of social protection for the staff of undertakings providing port services. This Regulation should not affect the application of the social and labour rules of the Member States. </w:t>
      </w:r>
      <w:r w:rsidRPr="001D3FF4">
        <w:rPr>
          <w:iCs/>
          <w:lang w:eastAsia="de-DE"/>
        </w:rPr>
        <w:t xml:space="preserve">It is appropriate to clarify that in cases where Directive 2001/23/EC does not apply, where the conclusion of a port service contract entails a change of port service provider, </w:t>
      </w:r>
      <w:r w:rsidRPr="001D3FF4">
        <w:rPr>
          <w:rFonts w:eastAsia="EUAlbertina-Regular-Identity-H"/>
          <w:lang w:eastAsia="de-DE"/>
        </w:rPr>
        <w:t>the managing body of the port,</w:t>
      </w:r>
      <w:r w:rsidRPr="001D3FF4">
        <w:rPr>
          <w:iCs/>
          <w:lang w:eastAsia="de-DE"/>
        </w:rPr>
        <w:t xml:space="preserve"> or the competent authority, should nevertheless be able to require that the rights and obligations of the outgoing provider of port services arising from a contract of employment, or from an employment relationship, existing on the date of that change are transferred to the newly appointed port service provider. </w:t>
      </w:r>
    </w:p>
  </w:footnote>
  <w:footnote w:id="22">
    <w:p w:rsidR="00AD2A6C" w:rsidRPr="001D3FF4" w:rsidRDefault="00AD2A6C" w:rsidP="008E1074">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paragraph: "</w:t>
      </w:r>
      <w:r w:rsidRPr="001D3FF4">
        <w:rPr>
          <w:lang w:eastAsia="de-DE"/>
        </w:rPr>
        <w:t>Whenever measures provided for in this Regulation entail the processing of personal data, such processing should be carried out in accordance with Union law on the protection of personal data, in particular Regulation (EU) No 2016/679 of the European Parliament and of the Council."</w:t>
      </w:r>
    </w:p>
  </w:footnote>
  <w:footnote w:id="23">
    <w:p w:rsidR="00784BBD" w:rsidRPr="00784BBD" w:rsidRDefault="00784BBD" w:rsidP="00261A51">
      <w:pPr>
        <w:pStyle w:val="Fotnotetekst"/>
      </w:pPr>
      <w:r w:rsidRPr="00784BBD">
        <w:rPr>
          <w:rStyle w:val="Fotnotereferanse"/>
        </w:rPr>
        <w:sym w:font="Symbol" w:char="F02A"/>
      </w:r>
      <w:r>
        <w:t xml:space="preserve"> </w:t>
      </w:r>
      <w:r>
        <w:tab/>
      </w:r>
      <w:r w:rsidR="00261A51">
        <w:t xml:space="preserve">It was agreed to add a recital along the following lines: "According to Resolution A.960 of the International Maritime Organization (IMO), each pilotage area needs highly specialised experience and local knowledge on the part of the pilot. Moreover, pilotage is generally mandatory and often organised or provided by the Member States themselves. Furthermore, Directive 2009/16/EC on port State control entrusts a role to pilots in reporting to competent authorities apparent anomalies which may prejudice the safe navigation of the waterborne vessel, or which may pose a threat or harm the marine environment. In addition, where safety conditions allow it, all Member States should encourage the use of Pilot Exemption certificates, or equivalent </w:t>
      </w:r>
      <w:r w:rsidR="00C7511F">
        <w:t>mechanisms</w:t>
      </w:r>
      <w:r w:rsidR="00261A51">
        <w:t xml:space="preserve">, in order to </w:t>
      </w:r>
      <w:r w:rsidR="00C7511F">
        <w:t>improve</w:t>
      </w:r>
      <w:r w:rsidR="00261A51">
        <w:t xml:space="preserve"> </w:t>
      </w:r>
      <w:r w:rsidR="00C7511F">
        <w:t>efficiency</w:t>
      </w:r>
      <w:r w:rsidR="00261A51">
        <w:t xml:space="preserve"> in ports, in particular to stimulate short sea shipping. Member States should remain free to decide whether or not to apply Chapter II to pilotage in order to avoid potential conflicts of interest between public interest functions and commercial considerations. In order to ensure the distribution of relevant information, the Commission should be informed accordingly.</w:t>
      </w:r>
      <w:r w:rsidR="00C37275">
        <w:t>"</w:t>
      </w:r>
    </w:p>
  </w:footnote>
  <w:footnote w:id="24">
    <w:p w:rsidR="00AD2A6C" w:rsidRPr="001D3FF4" w:rsidRDefault="00AD2A6C">
      <w:pPr>
        <w:pStyle w:val="Fotnotetekst"/>
        <w:rPr>
          <w:i/>
          <w:iCs/>
        </w:rPr>
      </w:pPr>
      <w:r w:rsidRPr="001D3FF4">
        <w:rPr>
          <w:rStyle w:val="Fotnotereferanse"/>
        </w:rPr>
        <w:sym w:font="Symbol" w:char="F02A"/>
      </w:r>
      <w:r w:rsidRPr="001D3FF4">
        <w:t xml:space="preserve"> </w:t>
      </w:r>
      <w:r w:rsidRPr="001D3FF4">
        <w:tab/>
      </w:r>
      <w:r w:rsidRPr="001D3FF4">
        <w:rPr>
          <w:i/>
          <w:iCs/>
        </w:rPr>
        <w:t>Moved here from Chapter II.</w:t>
      </w:r>
    </w:p>
  </w:footnote>
  <w:footnote w:id="25">
    <w:p w:rsidR="00AD2A6C" w:rsidRPr="001D3FF4" w:rsidRDefault="00AD2A6C" w:rsidP="008006E7">
      <w:pPr>
        <w:pStyle w:val="Fotnotetekst"/>
      </w:pPr>
      <w:r w:rsidRPr="001D3FF4">
        <w:rPr>
          <w:rStyle w:val="Fotnotereferanse"/>
        </w:rPr>
        <w:footnoteRef/>
      </w:r>
      <w:r w:rsidRPr="001D3FF4">
        <w:t xml:space="preserve"> </w:t>
      </w:r>
      <w:r w:rsidRPr="001D3FF4">
        <w:tab/>
      </w:r>
      <w:r w:rsidR="0025008F">
        <w:t>Agreed recital</w:t>
      </w:r>
      <w:r w:rsidRPr="001D3FF4">
        <w:t xml:space="preserve"> linked to this Article: "In a complex and competitive sector such as port services, initial and periodic training of staff is essential to ensure the quality of services and to protect the health and safety of port workers. Member States should ensure that providers of port services provide adequate training to their employees."</w:t>
      </w:r>
    </w:p>
  </w:footnote>
  <w:footnote w:id="26">
    <w:p w:rsidR="00AD2A6C" w:rsidRPr="001D3FF4" w:rsidRDefault="00AD2A6C" w:rsidP="00B70F82">
      <w:pPr>
        <w:pStyle w:val="Fotnotetekst"/>
        <w:rPr>
          <w:b/>
          <w:bCs/>
        </w:rPr>
      </w:pPr>
      <w:r w:rsidRPr="00EA6097">
        <w:rPr>
          <w:rStyle w:val="Fotnotereferanse"/>
        </w:rPr>
        <w:footnoteRef/>
      </w:r>
      <w:r w:rsidRPr="00EA6097">
        <w:t xml:space="preserve"> </w:t>
      </w:r>
      <w:r w:rsidRPr="00EA6097">
        <w:tab/>
      </w:r>
      <w:r w:rsidR="0025008F">
        <w:t>Agreed recital</w:t>
      </w:r>
      <w:r w:rsidRPr="00EA6097">
        <w:t xml:space="preserve">: "The EU </w:t>
      </w:r>
      <w:proofErr w:type="spellStart"/>
      <w:r w:rsidRPr="00EA6097">
        <w:t>Sectoral</w:t>
      </w:r>
      <w:proofErr w:type="spellEnd"/>
      <w:r w:rsidRPr="00EA6097">
        <w:t xml:space="preserve"> Social Dialogue Committee for Ports provides the social partners with a framework to develop a joint approach towards social challenges related to port labour relations, including working conditions, health and safety questions, training requirements</w:t>
      </w:r>
      <w:r w:rsidRPr="00EA6097">
        <w:rPr>
          <w:strike/>
        </w:rPr>
        <w:t>,</w:t>
      </w:r>
      <w:r w:rsidRPr="00EA6097">
        <w:t xml:space="preserve"> </w:t>
      </w:r>
      <w:r w:rsidRPr="00EA6097">
        <w:rPr>
          <w:b/>
          <w:bCs/>
          <w:u w:val="single"/>
        </w:rPr>
        <w:t>and</w:t>
      </w:r>
      <w:r w:rsidRPr="00EA6097">
        <w:rPr>
          <w:b/>
          <w:bCs/>
        </w:rPr>
        <w:t xml:space="preserve"> </w:t>
      </w:r>
      <w:r w:rsidRPr="00EA6097">
        <w:t>professional qualifications</w:t>
      </w:r>
      <w:r w:rsidRPr="00EA6097">
        <w:rPr>
          <w:b/>
          <w:bCs/>
          <w:u w:val="single"/>
        </w:rPr>
        <w:t>, in particular in the light of market-based and technological developments,</w:t>
      </w:r>
      <w:r w:rsidRPr="00EA6097">
        <w:t xml:space="preserve"> and enhancing the attractiveness of the sector to young workers and female workers</w:t>
      </w:r>
      <w:r w:rsidRPr="00EA6097">
        <w:rPr>
          <w:b/>
          <w:bCs/>
          <w:u w:val="single"/>
        </w:rPr>
        <w:t>, considering the importance of safeguarding the competitiveness of European maritime ports and promoting good working conditions</w:t>
      </w:r>
      <w:r w:rsidRPr="00EA6097">
        <w:t xml:space="preserve">. In full respect of the autonomy of the social partners, the EU </w:t>
      </w:r>
      <w:proofErr w:type="spellStart"/>
      <w:r w:rsidRPr="00EA6097">
        <w:t>Sectoral</w:t>
      </w:r>
      <w:proofErr w:type="spellEnd"/>
      <w:r w:rsidRPr="00EA6097">
        <w:t xml:space="preserve"> Social Dialogue for Ports is invited to develop guidelines on the development of training requirements to prevent accidents in the workplace and to ensure the highest level of health and safety for port workers, taking into account technological progress </w:t>
      </w:r>
      <w:r w:rsidR="00EA6097" w:rsidRPr="00EA6097">
        <w:t xml:space="preserve">and </w:t>
      </w:r>
      <w:r w:rsidRPr="00EA6097">
        <w:t xml:space="preserve">advances in transport logistics. </w:t>
      </w:r>
      <w:r w:rsidRPr="00EA6097">
        <w:rPr>
          <w:b/>
          <w:bCs/>
          <w:u w:val="single"/>
        </w:rPr>
        <w:t>Social partners should also explore different models for the organisation of maritime port labour that secure quality jobs and safe working conditions and that address fluctuations in the demand for port work.</w:t>
      </w:r>
      <w:r w:rsidRPr="001D3FF4">
        <w:rPr>
          <w:b/>
          <w:bCs/>
        </w:rPr>
        <w:t xml:space="preserve"> </w:t>
      </w:r>
      <w:r w:rsidRPr="001D3FF4">
        <w:t xml:space="preserve">It is important that the Commission support and facilitate the work of the EU </w:t>
      </w:r>
      <w:proofErr w:type="spellStart"/>
      <w:r w:rsidRPr="001D3FF4">
        <w:t>Sectoral</w:t>
      </w:r>
      <w:proofErr w:type="spellEnd"/>
      <w:r w:rsidRPr="001D3FF4">
        <w:t xml:space="preserve"> Social Dialogue Committee for Ports."</w:t>
      </w:r>
      <w:r w:rsidRPr="001D3FF4">
        <w:rPr>
          <w:b/>
          <w:bCs/>
        </w:rPr>
        <w:t xml:space="preserve"> </w:t>
      </w:r>
    </w:p>
  </w:footnote>
  <w:footnote w:id="27">
    <w:p w:rsidR="00AD2A6C" w:rsidRPr="001D3FF4" w:rsidRDefault="00AD2A6C" w:rsidP="00B70F82">
      <w:pPr>
        <w:pStyle w:val="Fotnotetekst"/>
      </w:pPr>
      <w:r w:rsidRPr="001D3FF4">
        <w:rPr>
          <w:rStyle w:val="Fotnotereferanse"/>
        </w:rPr>
        <w:footnoteRef/>
      </w:r>
      <w:r w:rsidRPr="001D3FF4">
        <w:t xml:space="preserve"> </w:t>
      </w:r>
      <w:r w:rsidRPr="001D3FF4">
        <w:tab/>
      </w:r>
      <w:r w:rsidR="0025008F">
        <w:t>Agreed recital</w:t>
      </w:r>
      <w:r w:rsidRPr="001D3FF4">
        <w:t>: "</w:t>
      </w:r>
      <w:r w:rsidRPr="001D3FF4">
        <w:rPr>
          <w:lang w:eastAsia="de-DE"/>
        </w:rPr>
        <w:t>In full respect of the autonomy of the social partners</w:t>
      </w:r>
      <w:r w:rsidRPr="001D3FF4">
        <w:rPr>
          <w:iCs/>
          <w:lang w:eastAsia="de-DE"/>
        </w:rPr>
        <w:t xml:space="preserve">, the EU </w:t>
      </w:r>
      <w:proofErr w:type="spellStart"/>
      <w:r w:rsidRPr="001D3FF4">
        <w:rPr>
          <w:iCs/>
          <w:lang w:eastAsia="de-DE"/>
        </w:rPr>
        <w:t>Sectoral</w:t>
      </w:r>
      <w:proofErr w:type="spellEnd"/>
      <w:r w:rsidRPr="001D3FF4">
        <w:rPr>
          <w:iCs/>
          <w:lang w:eastAsia="de-DE"/>
        </w:rPr>
        <w:t xml:space="preserve"> Social Dialogue for Ports is invited to gather evidence and report on trends in the demand for port work and flexibility required by port operations, taking account of evolving fleet sizes, technical progress and the impact of automation, and on any evidence of impact upon the terms and conditions of employment generally."</w:t>
      </w:r>
    </w:p>
  </w:footnote>
  <w:footnote w:id="28">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i/>
          <w:lang w:eastAsia="de-DE"/>
        </w:rPr>
        <w:t>OJ: Please insert date: 24 months after the date of entry into force of this Regulation.</w:t>
      </w:r>
    </w:p>
  </w:footnote>
  <w:footnote w:id="29">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bCs/>
          <w:i/>
          <w:iCs/>
          <w:lang w:eastAsia="de-DE"/>
        </w:rPr>
        <w:t>OJ: Please insert date: 24 months after the date of entry into force of this Regulation.</w:t>
      </w:r>
    </w:p>
  </w:footnote>
  <w:footnote w:id="30">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bCs/>
          <w:i/>
          <w:iCs/>
          <w:lang w:eastAsia="de-DE"/>
        </w:rPr>
        <w:t>OJ: Please insert date: 24 months after the date of entry into force of this Regulation.</w:t>
      </w:r>
    </w:p>
  </w:footnote>
  <w:footnote w:id="31">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i/>
          <w:szCs w:val="22"/>
          <w:lang w:eastAsia="de-DE"/>
        </w:rPr>
        <w:t>OJ: Please insert date: 72 months after the date of entry into force of this Regulation.</w:t>
      </w:r>
    </w:p>
  </w:footnote>
  <w:footnote w:id="32">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rFonts w:asciiTheme="majorBidi" w:hAnsiTheme="majorBidi" w:cstheme="majorBidi"/>
          <w:i/>
          <w:lang w:eastAsia="de-DE"/>
        </w:rPr>
        <w:t>OJ: Please insert date: date of adoption of this Regulation.</w:t>
      </w:r>
    </w:p>
  </w:footnote>
  <w:footnote w:id="33">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rFonts w:asciiTheme="majorBidi" w:hAnsiTheme="majorBidi" w:cstheme="majorBidi"/>
          <w:i/>
          <w:lang w:eastAsia="de-DE"/>
        </w:rPr>
        <w:t>OJ: Please insert date: date of adoption of this Regulation.</w:t>
      </w:r>
    </w:p>
  </w:footnote>
  <w:footnote w:id="34">
    <w:p w:rsidR="00AD2A6C" w:rsidRPr="001D3FF4" w:rsidRDefault="00AD2A6C">
      <w:pPr>
        <w:pStyle w:val="Fotnotetekst"/>
      </w:pPr>
      <w:r w:rsidRPr="001D3FF4">
        <w:rPr>
          <w:rStyle w:val="Fotnotereferanse"/>
        </w:rPr>
        <w:sym w:font="Symbol" w:char="F02A"/>
      </w:r>
      <w:r w:rsidRPr="001D3FF4">
        <w:t xml:space="preserve"> </w:t>
      </w:r>
      <w:r w:rsidRPr="001D3FF4">
        <w:tab/>
      </w:r>
      <w:r w:rsidRPr="001D3FF4">
        <w:rPr>
          <w:i/>
        </w:rPr>
        <w:t xml:space="preserve">OJ: Please insert date: 24 months after the date of entry into force of this </w:t>
      </w:r>
      <w:r w:rsidRPr="001D3FF4">
        <w:rPr>
          <w:i/>
          <w:noProof/>
        </w:rPr>
        <w:t>Regulation</w:t>
      </w:r>
      <w:r w:rsidRPr="001D3FF4">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107109"/>
      <w:docPartObj>
        <w:docPartGallery w:val="Watermarks"/>
        <w:docPartUnique/>
      </w:docPartObj>
    </w:sdtPr>
    <w:sdtContent>
      <w:p w:rsidR="00AD2A6C" w:rsidRPr="00EA6097" w:rsidRDefault="00756824" w:rsidP="00EA6097">
        <w:pPr>
          <w:pStyle w:val="Topptekst"/>
        </w:pPr>
        <w:r w:rsidRPr="0075682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5CE5A2"/>
    <w:lvl w:ilvl="0">
      <w:start w:val="1"/>
      <w:numFmt w:val="bullet"/>
      <w:pStyle w:val="Overskrift4"/>
      <w:lvlText w:val=""/>
      <w:lvlJc w:val="left"/>
      <w:pPr>
        <w:tabs>
          <w:tab w:val="num" w:pos="1209"/>
        </w:tabs>
        <w:ind w:left="1209" w:hanging="360"/>
      </w:pPr>
      <w:rPr>
        <w:rFonts w:ascii="Symbol" w:hAnsi="Symbol" w:hint="default"/>
      </w:rPr>
    </w:lvl>
  </w:abstractNum>
  <w:abstractNum w:abstractNumId="1">
    <w:nsid w:val="FFFFFF82"/>
    <w:multiLevelType w:val="singleLevel"/>
    <w:tmpl w:val="054A47C8"/>
    <w:lvl w:ilvl="0">
      <w:start w:val="1"/>
      <w:numFmt w:val="bullet"/>
      <w:pStyle w:val="Overskrift3"/>
      <w:lvlText w:val=""/>
      <w:lvlJc w:val="left"/>
      <w:pPr>
        <w:tabs>
          <w:tab w:val="num" w:pos="926"/>
        </w:tabs>
        <w:ind w:left="926" w:hanging="360"/>
      </w:pPr>
      <w:rPr>
        <w:rFonts w:ascii="Symbol" w:hAnsi="Symbol" w:hint="default"/>
      </w:rPr>
    </w:lvl>
  </w:abstractNum>
  <w:abstractNum w:abstractNumId="2">
    <w:nsid w:val="FFFFFF83"/>
    <w:multiLevelType w:val="singleLevel"/>
    <w:tmpl w:val="2286C99C"/>
    <w:lvl w:ilvl="0">
      <w:start w:val="1"/>
      <w:numFmt w:val="bullet"/>
      <w:pStyle w:val="Overskrift2"/>
      <w:lvlText w:val=""/>
      <w:lvlJc w:val="left"/>
      <w:pPr>
        <w:tabs>
          <w:tab w:val="num" w:pos="643"/>
        </w:tabs>
        <w:ind w:left="643" w:hanging="360"/>
      </w:pPr>
      <w:rPr>
        <w:rFonts w:ascii="Symbol" w:hAnsi="Symbol" w:hint="default"/>
      </w:rPr>
    </w:lvl>
  </w:abstractNum>
  <w:abstractNum w:abstractNumId="3">
    <w:nsid w:val="FFFFFF89"/>
    <w:multiLevelType w:val="singleLevel"/>
    <w:tmpl w:val="3BB4B5C8"/>
    <w:lvl w:ilvl="0">
      <w:start w:val="1"/>
      <w:numFmt w:val="bullet"/>
      <w:pStyle w:val="Overskrift1"/>
      <w:lvlText w:val=""/>
      <w:lvlJc w:val="left"/>
      <w:pPr>
        <w:tabs>
          <w:tab w:val="num" w:pos="360"/>
        </w:tabs>
        <w:ind w:left="360" w:hanging="360"/>
      </w:pPr>
      <w:rPr>
        <w:rFonts w:ascii="Symbol" w:hAnsi="Symbol" w:hint="default"/>
      </w:rPr>
    </w:lvl>
  </w:abstractNum>
  <w:abstractNum w:abstractNumId="4">
    <w:nsid w:val="00350FB1"/>
    <w:multiLevelType w:val="multilevel"/>
    <w:tmpl w:val="30847FD6"/>
    <w:name w:val="List Number 4"/>
    <w:lvl w:ilvl="0">
      <w:start w:val="1"/>
      <w:numFmt w:val="decimal"/>
      <w:lvlRestart w:val="0"/>
      <w:pStyle w:val="Nummerertliste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53782D"/>
    <w:multiLevelType w:val="multilevel"/>
    <w:tmpl w:val="66AE8800"/>
    <w:styleLink w:val="CowiHeaders"/>
    <w:lvl w:ilvl="0">
      <w:start w:val="1"/>
      <w:numFmt w:val="decimal"/>
      <w:lvlText w:val="%1"/>
      <w:lvlJc w:val="left"/>
      <w:pPr>
        <w:tabs>
          <w:tab w:val="num" w:pos="851"/>
        </w:tabs>
        <w:ind w:left="851" w:hanging="851"/>
      </w:pPr>
      <w:rPr>
        <w:rFonts w:ascii="Arial" w:hAnsi="Arial" w:cs="Arial" w:hint="default"/>
        <w:b/>
        <w:bCs/>
        <w:color w:val="auto"/>
        <w:sz w:val="32"/>
        <w:szCs w:val="32"/>
        <w:u w:val="none"/>
      </w:rPr>
    </w:lvl>
    <w:lvl w:ilvl="1">
      <w:start w:val="1"/>
      <w:numFmt w:val="decimal"/>
      <w:lvlText w:val="%1.%2"/>
      <w:lvlJc w:val="left"/>
      <w:pPr>
        <w:tabs>
          <w:tab w:val="num" w:pos="851"/>
        </w:tabs>
        <w:ind w:left="851" w:hanging="851"/>
      </w:pPr>
      <w:rPr>
        <w:rFonts w:ascii="Arial" w:hAnsi="Arial" w:cs="Arial" w:hint="default"/>
        <w:b/>
        <w:bCs/>
        <w:sz w:val="27"/>
        <w:szCs w:val="27"/>
      </w:rPr>
    </w:lvl>
    <w:lvl w:ilvl="2">
      <w:start w:val="1"/>
      <w:numFmt w:val="decimal"/>
      <w:lvlText w:val="%1.%2.%3"/>
      <w:lvlJc w:val="left"/>
      <w:pPr>
        <w:tabs>
          <w:tab w:val="num" w:pos="851"/>
        </w:tabs>
        <w:ind w:left="851" w:hanging="851"/>
      </w:pPr>
      <w:rPr>
        <w:rFonts w:ascii="Arial" w:hAnsi="Arial" w:cs="Arial" w:hint="default"/>
        <w:b/>
        <w:bCs/>
        <w:color w:val="auto"/>
        <w:sz w:val="23"/>
        <w:szCs w:val="23"/>
      </w:rPr>
    </w:lvl>
    <w:lvl w:ilvl="3">
      <w:start w:val="1"/>
      <w:numFmt w:val="decimal"/>
      <w:lvlText w:val="%1.%2.%3.%4"/>
      <w:lvlJc w:val="left"/>
      <w:pPr>
        <w:tabs>
          <w:tab w:val="num" w:pos="1276"/>
        </w:tabs>
        <w:ind w:left="1276" w:hanging="1276"/>
      </w:pPr>
      <w:rPr>
        <w:rFonts w:ascii="Arial" w:hAnsi="Arial" w:cs="Arial" w:hint="default"/>
        <w:b/>
        <w:bCs/>
        <w:sz w:val="20"/>
        <w:szCs w:val="20"/>
      </w:rPr>
    </w:lvl>
    <w:lvl w:ilvl="4">
      <w:start w:val="1"/>
      <w:numFmt w:val="decimal"/>
      <w:lvlText w:val="%1.%2.%3.%4.%5"/>
      <w:lvlJc w:val="left"/>
      <w:pPr>
        <w:tabs>
          <w:tab w:val="num" w:pos="1276"/>
        </w:tabs>
        <w:ind w:left="1276" w:hanging="1276"/>
      </w:pPr>
      <w:rPr>
        <w:rFonts w:ascii="Arial" w:hAnsi="Arial" w:cs="Arial" w:hint="default"/>
        <w:b/>
        <w:bCs/>
        <w:sz w:val="20"/>
        <w:szCs w:val="20"/>
      </w:rPr>
    </w:lvl>
    <w:lvl w:ilvl="5">
      <w:start w:val="1"/>
      <w:numFmt w:val="lowerRoman"/>
      <w:lvlText w:val="(%6)"/>
      <w:lvlJc w:val="left"/>
      <w:pPr>
        <w:tabs>
          <w:tab w:val="num" w:pos="851"/>
        </w:tabs>
        <w:ind w:left="851" w:hanging="851"/>
      </w:pPr>
      <w:rPr>
        <w:rFonts w:cs="Times New Roman" w:hint="default"/>
      </w:rPr>
    </w:lvl>
    <w:lvl w:ilvl="6">
      <w:start w:val="1"/>
      <w:numFmt w:val="none"/>
      <w:lvlRestart w:val="0"/>
      <w:suff w:val="nothing"/>
      <w:lvlText w:val=""/>
      <w:lvlJc w:val="left"/>
      <w:rPr>
        <w:rFonts w:ascii="Arial" w:hAnsi="Arial" w:cs="Arial" w:hint="default"/>
        <w:b/>
        <w:bCs/>
        <w:sz w:val="32"/>
        <w:szCs w:val="32"/>
      </w:rPr>
    </w:lvl>
    <w:lvl w:ilvl="7">
      <w:start w:val="1"/>
      <w:numFmt w:val="lowerLetter"/>
      <w:lvlText w:val="%8."/>
      <w:lvlJc w:val="left"/>
      <w:pPr>
        <w:tabs>
          <w:tab w:val="num" w:pos="851"/>
        </w:tabs>
        <w:ind w:left="851" w:hanging="851"/>
      </w:pPr>
      <w:rPr>
        <w:rFonts w:cs="Times New Roman" w:hint="default"/>
      </w:rPr>
    </w:lvl>
    <w:lvl w:ilvl="8">
      <w:start w:val="1"/>
      <w:numFmt w:val="lowerRoman"/>
      <w:lvlText w:val="%9."/>
      <w:lvlJc w:val="left"/>
      <w:pPr>
        <w:tabs>
          <w:tab w:val="num" w:pos="851"/>
        </w:tabs>
        <w:ind w:left="851" w:hanging="851"/>
      </w:pPr>
      <w:rPr>
        <w:rFonts w:cs="Times New Roman" w:hint="default"/>
      </w:rPr>
    </w:lvl>
  </w:abstractNum>
  <w:abstractNum w:abstractNumId="7">
    <w:nsid w:val="05E43525"/>
    <w:multiLevelType w:val="multilevel"/>
    <w:tmpl w:val="C40442E8"/>
    <w:name w:val="List Number 3"/>
    <w:lvl w:ilvl="0">
      <w:start w:val="1"/>
      <w:numFmt w:val="decimal"/>
      <w:lvlRestart w:val="0"/>
      <w:pStyle w:val="Nummerertliste3"/>
      <w:lvlText w:val="(%1)"/>
      <w:lvlJc w:val="left"/>
      <w:pPr>
        <w:tabs>
          <w:tab w:val="num" w:pos="1560"/>
        </w:tabs>
        <w:ind w:left="1560" w:hanging="709"/>
      </w:pPr>
      <w:rPr>
        <w:rFonts w:cs="Times New Roman" w:hint="default"/>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hint="default"/>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062900E4"/>
    <w:multiLevelType w:val="hybridMultilevel"/>
    <w:tmpl w:val="73BECD64"/>
    <w:lvl w:ilvl="0" w:tplc="D3A040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11">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DD5905"/>
    <w:multiLevelType w:val="singleLevel"/>
    <w:tmpl w:val="6CB4B73E"/>
    <w:lvl w:ilvl="0">
      <w:start w:val="1"/>
      <w:numFmt w:val="bullet"/>
      <w:lvlRestart w:val="0"/>
      <w:pStyle w:val="Punktmerketliste2"/>
      <w:lvlText w:val=""/>
      <w:lvlJc w:val="left"/>
      <w:pPr>
        <w:tabs>
          <w:tab w:val="num" w:pos="1134"/>
        </w:tabs>
        <w:ind w:left="1134" w:hanging="283"/>
      </w:pPr>
      <w:rPr>
        <w:rFonts w:ascii="Symbol" w:hAnsi="Symbol" w:hint="default"/>
      </w:rPr>
    </w:lvl>
  </w:abstractNum>
  <w:abstractNum w:abstractNumId="13">
    <w:nsid w:val="1B2755C2"/>
    <w:multiLevelType w:val="singleLevel"/>
    <w:tmpl w:val="DE9E0EAC"/>
    <w:lvl w:ilvl="0">
      <w:start w:val="1"/>
      <w:numFmt w:val="decimal"/>
      <w:pStyle w:val="Articlenblist"/>
      <w:lvlText w:val="%1."/>
      <w:lvlJc w:val="left"/>
      <w:pPr>
        <w:tabs>
          <w:tab w:val="num" w:pos="1440"/>
        </w:tabs>
        <w:ind w:left="1440" w:hanging="720"/>
      </w:pPr>
      <w:rPr>
        <w:rFonts w:cs="Times New Roman" w:hint="default"/>
      </w:rPr>
    </w:lvl>
  </w:abstractNum>
  <w:abstractNum w:abstractNumId="14">
    <w:nsid w:val="24E930D7"/>
    <w:multiLevelType w:val="multilevel"/>
    <w:tmpl w:val="EFD2E05E"/>
    <w:lvl w:ilvl="0">
      <w:start w:val="1"/>
      <w:numFmt w:val="decimal"/>
      <w:lvlRestart w:val="0"/>
      <w:pStyle w:val="Nummerertliste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6">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DF3651"/>
    <w:multiLevelType w:val="hybridMultilevel"/>
    <w:tmpl w:val="BA409B2A"/>
    <w:lvl w:ilvl="0" w:tplc="3CCA89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9">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2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2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3">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4">
    <w:nsid w:val="3E191884"/>
    <w:multiLevelType w:val="singleLevel"/>
    <w:tmpl w:val="3020C764"/>
    <w:lvl w:ilvl="0">
      <w:start w:val="1"/>
      <w:numFmt w:val="bullet"/>
      <w:lvlRestart w:val="0"/>
      <w:pStyle w:val="Punktmerketliste3"/>
      <w:lvlText w:val=""/>
      <w:lvlJc w:val="left"/>
      <w:pPr>
        <w:tabs>
          <w:tab w:val="num" w:pos="1134"/>
        </w:tabs>
        <w:ind w:left="1134" w:hanging="283"/>
      </w:pPr>
      <w:rPr>
        <w:rFonts w:ascii="Symbol" w:hAnsi="Symbol" w:hint="default"/>
      </w:rPr>
    </w:lvl>
  </w:abstractNum>
  <w:abstractNum w:abstractNumId="25">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6">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7">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8">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9">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30">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1B7A6F"/>
    <w:multiLevelType w:val="singleLevel"/>
    <w:tmpl w:val="0A7CB49A"/>
    <w:name w:val="Tiret 0"/>
    <w:lvl w:ilvl="0">
      <w:start w:val="1"/>
      <w:numFmt w:val="bullet"/>
      <w:lvlRestart w:val="0"/>
      <w:pStyle w:val="Tiret4"/>
      <w:lvlText w:val="–"/>
      <w:lvlJc w:val="left"/>
      <w:pPr>
        <w:tabs>
          <w:tab w:val="num" w:pos="3118"/>
        </w:tabs>
        <w:ind w:left="3118" w:hanging="567"/>
      </w:pPr>
    </w:lvl>
  </w:abstractNum>
  <w:abstractNum w:abstractNumId="3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3">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34">
    <w:nsid w:val="596D67A1"/>
    <w:multiLevelType w:val="singleLevel"/>
    <w:tmpl w:val="9AC8831A"/>
    <w:name w:val="Tiret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5">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36">
    <w:nsid w:val="5F8C3B69"/>
    <w:multiLevelType w:val="multilevel"/>
    <w:tmpl w:val="9B14DAA8"/>
    <w:name w:val="List Dash"/>
    <w:lvl w:ilvl="0">
      <w:start w:val="1"/>
      <w:numFmt w:val="decimal"/>
      <w:lvlRestart w:val="0"/>
      <w:pStyle w:val="Nummerertliste"/>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5FCF47BC"/>
    <w:multiLevelType w:val="multilevel"/>
    <w:tmpl w:val="808E31E6"/>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276"/>
        </w:tabs>
        <w:ind w:left="1276"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nsid w:val="63C373A3"/>
    <w:multiLevelType w:val="hybridMultilevel"/>
    <w:tmpl w:val="3E12CC8C"/>
    <w:name w:val="Tiret 4"/>
    <w:lvl w:ilvl="0" w:tplc="60504622">
      <w:start w:val="1"/>
      <w:numFmt w:val="decimal"/>
      <w:pStyle w:val="Sous-titre1"/>
      <w:lvlText w:val="%1."/>
      <w:lvlJc w:val="left"/>
      <w:pPr>
        <w:tabs>
          <w:tab w:val="num" w:pos="720"/>
        </w:tabs>
        <w:ind w:left="720" w:hanging="360"/>
      </w:pPr>
      <w:rPr>
        <w:rFonts w:cs="Times New Roman"/>
      </w:rPr>
    </w:lvl>
    <w:lvl w:ilvl="1" w:tplc="F2681FCC" w:tentative="1">
      <w:start w:val="1"/>
      <w:numFmt w:val="lowerLetter"/>
      <w:lvlText w:val="%2."/>
      <w:lvlJc w:val="left"/>
      <w:pPr>
        <w:tabs>
          <w:tab w:val="num" w:pos="1440"/>
        </w:tabs>
        <w:ind w:left="1440" w:hanging="360"/>
      </w:pPr>
      <w:rPr>
        <w:rFonts w:cs="Times New Roman"/>
      </w:rPr>
    </w:lvl>
    <w:lvl w:ilvl="2" w:tplc="586EDE70" w:tentative="1">
      <w:start w:val="1"/>
      <w:numFmt w:val="lowerRoman"/>
      <w:lvlText w:val="%3."/>
      <w:lvlJc w:val="right"/>
      <w:pPr>
        <w:tabs>
          <w:tab w:val="num" w:pos="2160"/>
        </w:tabs>
        <w:ind w:left="2160" w:hanging="180"/>
      </w:pPr>
      <w:rPr>
        <w:rFonts w:cs="Times New Roman"/>
      </w:rPr>
    </w:lvl>
    <w:lvl w:ilvl="3" w:tplc="26F8405C" w:tentative="1">
      <w:start w:val="1"/>
      <w:numFmt w:val="decimal"/>
      <w:lvlText w:val="%4."/>
      <w:lvlJc w:val="left"/>
      <w:pPr>
        <w:tabs>
          <w:tab w:val="num" w:pos="2880"/>
        </w:tabs>
        <w:ind w:left="2880" w:hanging="360"/>
      </w:pPr>
      <w:rPr>
        <w:rFonts w:cs="Times New Roman"/>
      </w:rPr>
    </w:lvl>
    <w:lvl w:ilvl="4" w:tplc="74CE7090" w:tentative="1">
      <w:start w:val="1"/>
      <w:numFmt w:val="lowerLetter"/>
      <w:lvlText w:val="%5."/>
      <w:lvlJc w:val="left"/>
      <w:pPr>
        <w:tabs>
          <w:tab w:val="num" w:pos="3600"/>
        </w:tabs>
        <w:ind w:left="3600" w:hanging="360"/>
      </w:pPr>
      <w:rPr>
        <w:rFonts w:cs="Times New Roman"/>
      </w:rPr>
    </w:lvl>
    <w:lvl w:ilvl="5" w:tplc="C32CE950" w:tentative="1">
      <w:start w:val="1"/>
      <w:numFmt w:val="lowerRoman"/>
      <w:lvlText w:val="%6."/>
      <w:lvlJc w:val="right"/>
      <w:pPr>
        <w:tabs>
          <w:tab w:val="num" w:pos="4320"/>
        </w:tabs>
        <w:ind w:left="4320" w:hanging="180"/>
      </w:pPr>
      <w:rPr>
        <w:rFonts w:cs="Times New Roman"/>
      </w:rPr>
    </w:lvl>
    <w:lvl w:ilvl="6" w:tplc="4BE61DEC" w:tentative="1">
      <w:start w:val="1"/>
      <w:numFmt w:val="decimal"/>
      <w:lvlText w:val="%7."/>
      <w:lvlJc w:val="left"/>
      <w:pPr>
        <w:tabs>
          <w:tab w:val="num" w:pos="5040"/>
        </w:tabs>
        <w:ind w:left="5040" w:hanging="360"/>
      </w:pPr>
      <w:rPr>
        <w:rFonts w:cs="Times New Roman"/>
      </w:rPr>
    </w:lvl>
    <w:lvl w:ilvl="7" w:tplc="68645D24" w:tentative="1">
      <w:start w:val="1"/>
      <w:numFmt w:val="lowerLetter"/>
      <w:lvlText w:val="%8."/>
      <w:lvlJc w:val="left"/>
      <w:pPr>
        <w:tabs>
          <w:tab w:val="num" w:pos="5760"/>
        </w:tabs>
        <w:ind w:left="5760" w:hanging="360"/>
      </w:pPr>
      <w:rPr>
        <w:rFonts w:cs="Times New Roman"/>
      </w:rPr>
    </w:lvl>
    <w:lvl w:ilvl="8" w:tplc="84229DFC" w:tentative="1">
      <w:start w:val="1"/>
      <w:numFmt w:val="lowerRoman"/>
      <w:lvlText w:val="%9."/>
      <w:lvlJc w:val="right"/>
      <w:pPr>
        <w:tabs>
          <w:tab w:val="num" w:pos="6480"/>
        </w:tabs>
        <w:ind w:left="6480" w:hanging="180"/>
      </w:pPr>
      <w:rPr>
        <w:rFonts w:cs="Times New Roman"/>
      </w:rPr>
    </w:lvl>
  </w:abstractNum>
  <w:abstractNum w:abstractNumId="41">
    <w:nsid w:val="671609C8"/>
    <w:multiLevelType w:val="hybridMultilevel"/>
    <w:tmpl w:val="E172763A"/>
    <w:name w:val="Heading"/>
    <w:lvl w:ilvl="0" w:tplc="856282DC">
      <w:start w:val="1"/>
      <w:numFmt w:val="bullet"/>
      <w:lvlRestart w:val="0"/>
      <w:pStyle w:val="ListBullet1"/>
      <w:lvlText w:val=""/>
      <w:lvlJc w:val="left"/>
      <w:pPr>
        <w:tabs>
          <w:tab w:val="num" w:pos="283"/>
        </w:tabs>
        <w:ind w:left="283" w:hanging="283"/>
      </w:pPr>
      <w:rPr>
        <w:rFonts w:ascii="Symbol" w:hAnsi="Symbol"/>
      </w:rPr>
    </w:lvl>
    <w:lvl w:ilvl="1" w:tplc="D632EF76" w:tentative="1">
      <w:start w:val="1"/>
      <w:numFmt w:val="bullet"/>
      <w:lvlText w:val="o"/>
      <w:lvlJc w:val="left"/>
      <w:pPr>
        <w:tabs>
          <w:tab w:val="num" w:pos="589"/>
        </w:tabs>
        <w:ind w:left="589" w:hanging="360"/>
      </w:pPr>
      <w:rPr>
        <w:rFonts w:ascii="Courier New" w:hAnsi="Courier New" w:hint="default"/>
      </w:rPr>
    </w:lvl>
    <w:lvl w:ilvl="2" w:tplc="4C74569A" w:tentative="1">
      <w:start w:val="1"/>
      <w:numFmt w:val="bullet"/>
      <w:lvlText w:val=""/>
      <w:lvlJc w:val="left"/>
      <w:pPr>
        <w:tabs>
          <w:tab w:val="num" w:pos="1309"/>
        </w:tabs>
        <w:ind w:left="1309" w:hanging="360"/>
      </w:pPr>
      <w:rPr>
        <w:rFonts w:ascii="Wingdings" w:hAnsi="Wingdings" w:hint="default"/>
      </w:rPr>
    </w:lvl>
    <w:lvl w:ilvl="3" w:tplc="ED8CC8B2" w:tentative="1">
      <w:start w:val="1"/>
      <w:numFmt w:val="bullet"/>
      <w:lvlText w:val=""/>
      <w:lvlJc w:val="left"/>
      <w:pPr>
        <w:tabs>
          <w:tab w:val="num" w:pos="2029"/>
        </w:tabs>
        <w:ind w:left="2029" w:hanging="360"/>
      </w:pPr>
      <w:rPr>
        <w:rFonts w:ascii="Symbol" w:hAnsi="Symbol" w:hint="default"/>
      </w:rPr>
    </w:lvl>
    <w:lvl w:ilvl="4" w:tplc="FE444002" w:tentative="1">
      <w:start w:val="1"/>
      <w:numFmt w:val="bullet"/>
      <w:lvlText w:val="o"/>
      <w:lvlJc w:val="left"/>
      <w:pPr>
        <w:tabs>
          <w:tab w:val="num" w:pos="2749"/>
        </w:tabs>
        <w:ind w:left="2749" w:hanging="360"/>
      </w:pPr>
      <w:rPr>
        <w:rFonts w:ascii="Courier New" w:hAnsi="Courier New" w:hint="default"/>
      </w:rPr>
    </w:lvl>
    <w:lvl w:ilvl="5" w:tplc="F7808726" w:tentative="1">
      <w:start w:val="1"/>
      <w:numFmt w:val="bullet"/>
      <w:lvlText w:val=""/>
      <w:lvlJc w:val="left"/>
      <w:pPr>
        <w:tabs>
          <w:tab w:val="num" w:pos="3469"/>
        </w:tabs>
        <w:ind w:left="3469" w:hanging="360"/>
      </w:pPr>
      <w:rPr>
        <w:rFonts w:ascii="Wingdings" w:hAnsi="Wingdings" w:hint="default"/>
      </w:rPr>
    </w:lvl>
    <w:lvl w:ilvl="6" w:tplc="22B4C87E" w:tentative="1">
      <w:start w:val="1"/>
      <w:numFmt w:val="bullet"/>
      <w:lvlText w:val=""/>
      <w:lvlJc w:val="left"/>
      <w:pPr>
        <w:tabs>
          <w:tab w:val="num" w:pos="4189"/>
        </w:tabs>
        <w:ind w:left="4189" w:hanging="360"/>
      </w:pPr>
      <w:rPr>
        <w:rFonts w:ascii="Symbol" w:hAnsi="Symbol" w:hint="default"/>
      </w:rPr>
    </w:lvl>
    <w:lvl w:ilvl="7" w:tplc="10E8EFE0" w:tentative="1">
      <w:start w:val="1"/>
      <w:numFmt w:val="bullet"/>
      <w:lvlText w:val="o"/>
      <w:lvlJc w:val="left"/>
      <w:pPr>
        <w:tabs>
          <w:tab w:val="num" w:pos="4909"/>
        </w:tabs>
        <w:ind w:left="4909" w:hanging="360"/>
      </w:pPr>
      <w:rPr>
        <w:rFonts w:ascii="Courier New" w:hAnsi="Courier New" w:hint="default"/>
      </w:rPr>
    </w:lvl>
    <w:lvl w:ilvl="8" w:tplc="E6E0D93E" w:tentative="1">
      <w:start w:val="1"/>
      <w:numFmt w:val="bullet"/>
      <w:lvlText w:val=""/>
      <w:lvlJc w:val="left"/>
      <w:pPr>
        <w:tabs>
          <w:tab w:val="num" w:pos="5629"/>
        </w:tabs>
        <w:ind w:left="5629" w:hanging="360"/>
      </w:pPr>
      <w:rPr>
        <w:rFonts w:ascii="Wingdings" w:hAnsi="Wingdings" w:hint="default"/>
      </w:rPr>
    </w:lvl>
  </w:abstractNum>
  <w:abstractNum w:abstractNumId="4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43">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4">
    <w:nsid w:val="6D2B5511"/>
    <w:multiLevelType w:val="singleLevel"/>
    <w:tmpl w:val="74A09970"/>
    <w:lvl w:ilvl="0">
      <w:start w:val="1"/>
      <w:numFmt w:val="bullet"/>
      <w:lvlRestart w:val="0"/>
      <w:pStyle w:val="Punktmerketliste"/>
      <w:lvlText w:val=""/>
      <w:lvlJc w:val="left"/>
      <w:pPr>
        <w:tabs>
          <w:tab w:val="num" w:pos="283"/>
        </w:tabs>
        <w:ind w:left="283" w:hanging="283"/>
      </w:pPr>
      <w:rPr>
        <w:rFonts w:ascii="Symbol" w:hAnsi="Symbol" w:hint="default"/>
      </w:rPr>
    </w:lvl>
  </w:abstractNum>
  <w:abstractNum w:abstractNumId="45">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7">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9">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C966381"/>
    <w:multiLevelType w:val="multilevel"/>
    <w:tmpl w:val="DCC88062"/>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2">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53">
    <w:nsid w:val="7F7154E1"/>
    <w:multiLevelType w:val="singleLevel"/>
    <w:tmpl w:val="E3F6D2C6"/>
    <w:lvl w:ilvl="0">
      <w:start w:val="1"/>
      <w:numFmt w:val="bullet"/>
      <w:lvlRestart w:val="0"/>
      <w:pStyle w:val="Punktmerketliste4"/>
      <w:lvlText w:val=""/>
      <w:lvlJc w:val="left"/>
      <w:pPr>
        <w:tabs>
          <w:tab w:val="num" w:pos="1134"/>
        </w:tabs>
        <w:ind w:left="1134" w:hanging="283"/>
      </w:pPr>
      <w:rPr>
        <w:rFonts w:ascii="Symbol" w:hAnsi="Symbol" w:hint="default"/>
      </w:rPr>
    </w:lvl>
  </w:abstractNum>
  <w:num w:numId="1">
    <w:abstractNumId w:val="42"/>
  </w:num>
  <w:num w:numId="2">
    <w:abstractNumId w:val="28"/>
  </w:num>
  <w:num w:numId="3">
    <w:abstractNumId w:val="26"/>
  </w:num>
  <w:num w:numId="4">
    <w:abstractNumId w:val="29"/>
  </w:num>
  <w:num w:numId="5">
    <w:abstractNumId w:val="21"/>
  </w:num>
  <w:num w:numId="6">
    <w:abstractNumId w:val="10"/>
  </w:num>
  <w:num w:numId="7">
    <w:abstractNumId w:val="20"/>
  </w:num>
  <w:num w:numId="8">
    <w:abstractNumId w:val="18"/>
  </w:num>
  <w:num w:numId="9">
    <w:abstractNumId w:val="15"/>
  </w:num>
  <w:num w:numId="10">
    <w:abstractNumId w:val="45"/>
  </w:num>
  <w:num w:numId="11">
    <w:abstractNumId w:val="46"/>
  </w:num>
  <w:num w:numId="12">
    <w:abstractNumId w:val="9"/>
  </w:num>
  <w:num w:numId="13">
    <w:abstractNumId w:val="51"/>
  </w:num>
  <w:num w:numId="14">
    <w:abstractNumId w:val="43"/>
  </w:num>
  <w:num w:numId="15">
    <w:abstractNumId w:val="32"/>
  </w:num>
  <w:num w:numId="16">
    <w:abstractNumId w:val="22"/>
  </w:num>
  <w:num w:numId="17">
    <w:abstractNumId w:val="38"/>
  </w:num>
  <w:num w:numId="18">
    <w:abstractNumId w:val="11"/>
  </w:num>
  <w:num w:numId="19">
    <w:abstractNumId w:val="47"/>
  </w:num>
  <w:num w:numId="20">
    <w:abstractNumId w:val="16"/>
  </w:num>
  <w:num w:numId="21">
    <w:abstractNumId w:val="2"/>
  </w:num>
  <w:num w:numId="22">
    <w:abstractNumId w:val="1"/>
  </w:num>
  <w:num w:numId="23">
    <w:abstractNumId w:val="0"/>
  </w:num>
  <w:num w:numId="24">
    <w:abstractNumId w:val="3"/>
  </w:num>
  <w:num w:numId="25">
    <w:abstractNumId w:val="41"/>
  </w:num>
  <w:num w:numId="26">
    <w:abstractNumId w:val="19"/>
  </w:num>
  <w:num w:numId="27">
    <w:abstractNumId w:val="33"/>
  </w:num>
  <w:num w:numId="28">
    <w:abstractNumId w:val="23"/>
  </w:num>
  <w:num w:numId="29">
    <w:abstractNumId w:val="27"/>
  </w:num>
  <w:num w:numId="30">
    <w:abstractNumId w:val="31"/>
  </w:num>
  <w:num w:numId="31">
    <w:abstractNumId w:val="50"/>
  </w:num>
  <w:num w:numId="32">
    <w:abstractNumId w:val="44"/>
  </w:num>
  <w:num w:numId="33">
    <w:abstractNumId w:val="12"/>
  </w:num>
  <w:num w:numId="34">
    <w:abstractNumId w:val="24"/>
  </w:num>
  <w:num w:numId="35">
    <w:abstractNumId w:val="53"/>
  </w:num>
  <w:num w:numId="36">
    <w:abstractNumId w:val="25"/>
  </w:num>
  <w:num w:numId="37">
    <w:abstractNumId w:val="39"/>
  </w:num>
  <w:num w:numId="38">
    <w:abstractNumId w:val="34"/>
  </w:num>
  <w:num w:numId="39">
    <w:abstractNumId w:val="48"/>
  </w:num>
  <w:num w:numId="40">
    <w:abstractNumId w:val="52"/>
  </w:num>
  <w:num w:numId="41">
    <w:abstractNumId w:val="36"/>
  </w:num>
  <w:num w:numId="42">
    <w:abstractNumId w:val="49"/>
  </w:num>
  <w:num w:numId="43">
    <w:abstractNumId w:val="14"/>
  </w:num>
  <w:num w:numId="44">
    <w:abstractNumId w:val="7"/>
  </w:num>
  <w:num w:numId="45">
    <w:abstractNumId w:val="4"/>
  </w:num>
  <w:num w:numId="46">
    <w:abstractNumId w:val="35"/>
  </w:num>
  <w:num w:numId="47">
    <w:abstractNumId w:val="6"/>
  </w:num>
  <w:num w:numId="48">
    <w:abstractNumId w:val="13"/>
    <w:lvlOverride w:ilvl="0">
      <w:startOverride w:val="1"/>
    </w:lvlOverride>
  </w:num>
  <w:num w:numId="49">
    <w:abstractNumId w:val="40"/>
  </w:num>
  <w:num w:numId="50">
    <w:abstractNumId w:val="37"/>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stylePaneFormatFilter w:val="3F01"/>
  <w:defaultTabStop w:val="567"/>
  <w:hyphenationZone w:val="425"/>
  <w:drawingGridHorizontalSpacing w:val="120"/>
  <w:displayHorizontalDrawingGridEvery w:val="2"/>
  <w:noPunctuationKerning/>
  <w:characterSpacingControl w:val="doNotCompress"/>
  <w:hdrShapeDefaults>
    <o:shapedefaults v:ext="edit" spidmax="53250"/>
    <o:shapelayout v:ext="edit">
      <o:idmap v:ext="edit" data="50"/>
    </o:shapelayout>
  </w:hdrShapeDefaults>
  <w:footnotePr>
    <w:footnote w:id="-1"/>
    <w:footnote w:id="0"/>
  </w:footnotePr>
  <w:endnotePr>
    <w:endnote w:id="-1"/>
    <w:endnote w:id="0"/>
  </w:endnotePr>
  <w:compat>
    <w:doNotUseHTMLParagraphAutoSpacing/>
  </w:compat>
  <w:docVars>
    <w:docVar w:name="Copylist_Path" w:val="\\at100\user\WK\SEILEG\DocuWrite\Copylist"/>
    <w:docVar w:name="Council" w:val="true"/>
    <w:docVar w:name="DocuWriteMetaData" w:val="&lt;metadataset docuwriteversion=&quot;3.7.7&quot; technicalblockguid=&quot;df410839-1426-40fc-8eee-e47de7956e3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57&quot; text=&quot;REPORT&quot; /&gt;_x000D__x000A_    &lt;/basicdatatype&gt;_x000D__x000A_  &lt;/metadata&gt;_x000D__x000A_  &lt;metadata key=&quot;md_HeadingText&quot;&gt;_x000D__x000A_    &lt;headingtext text=&quot;REPORT&quot;&gt;_x000D__x000A_      &lt;formattedtext&gt;_x000D__x000A_        &lt;xaml text=&quot;REPORT&quot;&gt;&amp;lt;FlowDocument xmlns=&quot;http://schemas.microsoft.com/winfx/2006/xaml/presentation&quot;&amp;gt;&amp;lt;Paragraph&amp;gt;REPORT&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6-28&lt;/text&gt;_x000D__x000A_  &lt;/metadata&gt;_x000D__x000A_  &lt;metadata key=&quot;md_Prefix&quot;&gt;_x000D__x000A_    &lt;text&gt;&lt;/text&gt;_x000D__x000A_  &lt;/metadata&gt;_x000D__x000A_  &lt;metadata key=&quot;md_DocumentNumber&quot;&gt;_x000D__x000A_    &lt;text&gt;1057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TRANS 257&lt;/text&gt;_x000D__x000A_      &lt;text&gt;MAR 179&lt;/text&gt;_x000D__x000A_      &lt;text&gt;FIN 400&lt;/text&gt;_x000D__x000A_      &lt;text&gt;CODEC 940&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3/0157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9&quot; text=&quot;Permanent Representatives Committee (Part 1)&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0228/16 TRANS 240 MAR 171 FIN 361 CODEC 882&lt;/text&gt;_x000D__x000A_    &lt;/textlist&gt;_x000D__x000A_  &lt;/metadata&gt;_x000D__x000A_  &lt;metadata key=&quot;md_CommissionDocuments&quot;&gt;_x000D__x000A_    &lt;textlist&gt;_x000D__x000A_      &lt;text&gt;10154/13 TRANS 272 MAR 62 FIN 300 CODEC 1234&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Regulation of the European Parliament and of the Council establishing a framework on market access to port services and financial transparency of ports - Analysis of the final compromise text with a view to agreement&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Proposal for a Regulation of the European Parliament and of the Council establishing a framework on market access to port services and financial transparency of ports&amp;lt;/Run&amp;gt;&amp;lt;/Paragraph&amp;gt;&amp;lt;Paragraph FontFamily=&quot;Georgia&quot; FontSize=&quot;16&quot;&amp;gt;&amp;lt;Run FontFamily=&quot;Arial Unicode MS&quot; xml:lang=&quot;fr-be&quot; xml:space=&quot;preserve&quot;&amp;gt;-_x0009_&amp;lt;/Run&amp;gt;&amp;lt;Run FontFamily=&quot;Arial Unicode MS&quot; FontStyle=&quot;Italic&quot; xml:lang=&quot;sv-se&quot;&amp;gt;Analysis of the final compromise text with a view to agreement&amp;lt;/Run&amp;gt;&amp;lt;/Paragraph&amp;gt;&amp;lt;/FlowDocument&amp;gt;&lt;/xaml&gt;_x000D__x000A_  &lt;/metadata&gt;_x000D__x000A_  &lt;metadata key=&quot;md_SubjectFootnote&quot; /&gt;_x000D__x000A_  &lt;metadata key=&quot;md_DG&quot;&gt;_x000D__x000A_    &lt;text&gt;DG E 2 A&lt;/text&gt;_x000D__x000A_  &lt;/metadata&gt;_x000D__x000A_  &lt;metadata key=&quot;md_Initials&quot;&gt;_x000D__x000A_    &lt;text&gt;AV/i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9cc93502-20ed-43ff-b71c-84780c3e98fc&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5-27&lt;/text&gt;_x000D__x000A_  &lt;/metadata&gt;_x000D__x000A_  &lt;metadata key=&quot;md_Prefix&quot;&gt;_x000D__x000A_    &lt;text&gt;&lt;/text&gt;_x000D__x000A_  &lt;/metadata&gt;_x000D__x000A_  &lt;metadata key=&quot;md_DocumentNumber&quot;&gt;_x000D__x000A_    &lt;text&gt;940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TRANS 188&lt;/text&gt;_x000D__x000A_      &lt;text&gt;MAR 153&lt;/text&gt;_x000D__x000A_      &lt;text&gt;FIN 322&lt;/text&gt;_x000D__x000A_      &lt;text&gt;CODEC 73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157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695/16 TRANS 162 MAR 143 FIN 290 CODEC 606&lt;/text&gt;_x000D__x000A_    &lt;/textlist&gt;_x000D__x000A_  &lt;/metadata&gt;_x000D__x000A_  &lt;metadata key=&quot;md_CommissionDocuments&quot;&gt;_x000D__x000A_    &lt;textlist&gt;_x000D__x000A_      &lt;text&gt;10154/13 TRANS 272 MAR 62 FIN 300 CODEC 1234&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Regulation of the European Parliament and the Council establishing a framework on market access to port services and financial transparency of ports&quot;&gt;&amp;lt;FlowDocument FontFamily=&quot;Arial Unicode MS&quot; FontSize=&quot;12&quot; PageWidth=&quot;329&quot; PagePadding=&quot;5,0,5,0&quot; AllowDrop=&quot;False&quot; xmlns=&quot;http://schemas.microsoft.com/winfx/2006/xaml/presentation&quot;&amp;gt;&amp;lt;Paragraph FontFamily=&quot;Georgia&quot; FontSize=&quot;16&quot;&amp;gt;&amp;lt;Run FontFamily=&quot;Arial Unicode MS&quot;&amp;gt;Proposal for a Regulation of the European Parliament and the Council establishing a framework on market access to port services and financial transparency of ports&amp;lt;/Run&amp;gt;&amp;lt;/Paragraph&amp;gt;&amp;lt;/FlowDocument&amp;gt;&lt;/xaml&gt;_x000D__x000A_  &lt;/metadata&gt;_x000D__x000A_  &lt;metadata key=&quot;md_SubjectFootnote&quot; /&gt;_x000D__x000A_  &lt;metadata key=&quot;md_DG&quot;&gt;_x000D__x000A_    &lt;text&gt;DGE 2 A&lt;/text&gt;_x000D__x000A_  &lt;/metadata&gt;_x000D__x000A_  &lt;metadata key=&quot;md_Initials&quot;&gt;_x000D__x000A_    &lt;text&gt;AV/i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484E10"/>
    <w:rsid w:val="00006308"/>
    <w:rsid w:val="000135BF"/>
    <w:rsid w:val="00020DC9"/>
    <w:rsid w:val="000241FF"/>
    <w:rsid w:val="000327C2"/>
    <w:rsid w:val="00050985"/>
    <w:rsid w:val="000677DB"/>
    <w:rsid w:val="00096B04"/>
    <w:rsid w:val="000A2F87"/>
    <w:rsid w:val="000A6758"/>
    <w:rsid w:val="000B173B"/>
    <w:rsid w:val="000B19E3"/>
    <w:rsid w:val="000C2CA0"/>
    <w:rsid w:val="000D7CE3"/>
    <w:rsid w:val="000F2A2F"/>
    <w:rsid w:val="000F2F3F"/>
    <w:rsid w:val="000F74A7"/>
    <w:rsid w:val="00123139"/>
    <w:rsid w:val="00130CD9"/>
    <w:rsid w:val="001401F2"/>
    <w:rsid w:val="00140CAE"/>
    <w:rsid w:val="00145AE7"/>
    <w:rsid w:val="001473F9"/>
    <w:rsid w:val="00151990"/>
    <w:rsid w:val="00173A91"/>
    <w:rsid w:val="00182F2F"/>
    <w:rsid w:val="001C5CF6"/>
    <w:rsid w:val="001D3FF4"/>
    <w:rsid w:val="002050D6"/>
    <w:rsid w:val="002238A0"/>
    <w:rsid w:val="00223FA8"/>
    <w:rsid w:val="002345D5"/>
    <w:rsid w:val="0025008F"/>
    <w:rsid w:val="00261A51"/>
    <w:rsid w:val="0026321B"/>
    <w:rsid w:val="00270C26"/>
    <w:rsid w:val="00274218"/>
    <w:rsid w:val="002C0834"/>
    <w:rsid w:val="002C3F31"/>
    <w:rsid w:val="002D5310"/>
    <w:rsid w:val="002E275C"/>
    <w:rsid w:val="002F6886"/>
    <w:rsid w:val="003027B7"/>
    <w:rsid w:val="0032309A"/>
    <w:rsid w:val="003274FC"/>
    <w:rsid w:val="003375EA"/>
    <w:rsid w:val="00340800"/>
    <w:rsid w:val="00356F5F"/>
    <w:rsid w:val="00365824"/>
    <w:rsid w:val="003670B0"/>
    <w:rsid w:val="00370D11"/>
    <w:rsid w:val="003753CD"/>
    <w:rsid w:val="003A5287"/>
    <w:rsid w:val="003A7471"/>
    <w:rsid w:val="003F241B"/>
    <w:rsid w:val="00414945"/>
    <w:rsid w:val="00421580"/>
    <w:rsid w:val="00427FA8"/>
    <w:rsid w:val="0048392C"/>
    <w:rsid w:val="00484538"/>
    <w:rsid w:val="00484E10"/>
    <w:rsid w:val="00484EDD"/>
    <w:rsid w:val="00491CE0"/>
    <w:rsid w:val="004A5CE6"/>
    <w:rsid w:val="004B0F76"/>
    <w:rsid w:val="004B2DD3"/>
    <w:rsid w:val="004B3719"/>
    <w:rsid w:val="004B67D7"/>
    <w:rsid w:val="004D033E"/>
    <w:rsid w:val="004D13C3"/>
    <w:rsid w:val="004E045C"/>
    <w:rsid w:val="00510D64"/>
    <w:rsid w:val="005230A1"/>
    <w:rsid w:val="00532208"/>
    <w:rsid w:val="0053707C"/>
    <w:rsid w:val="00545E42"/>
    <w:rsid w:val="00554C82"/>
    <w:rsid w:val="005838E0"/>
    <w:rsid w:val="00586E30"/>
    <w:rsid w:val="00590B64"/>
    <w:rsid w:val="00592014"/>
    <w:rsid w:val="0059317A"/>
    <w:rsid w:val="005A2B6D"/>
    <w:rsid w:val="005B0F6F"/>
    <w:rsid w:val="005C342D"/>
    <w:rsid w:val="005C3DFD"/>
    <w:rsid w:val="005D769A"/>
    <w:rsid w:val="005E7A9A"/>
    <w:rsid w:val="005F6C49"/>
    <w:rsid w:val="006176EB"/>
    <w:rsid w:val="00625999"/>
    <w:rsid w:val="006351BB"/>
    <w:rsid w:val="00645974"/>
    <w:rsid w:val="00647FB0"/>
    <w:rsid w:val="00674219"/>
    <w:rsid w:val="00681215"/>
    <w:rsid w:val="0069024E"/>
    <w:rsid w:val="00690D2B"/>
    <w:rsid w:val="00690FDC"/>
    <w:rsid w:val="0069288E"/>
    <w:rsid w:val="006977D5"/>
    <w:rsid w:val="006E50B3"/>
    <w:rsid w:val="006F10D5"/>
    <w:rsid w:val="00710CAB"/>
    <w:rsid w:val="00711D35"/>
    <w:rsid w:val="007161AD"/>
    <w:rsid w:val="00725FA9"/>
    <w:rsid w:val="00732C82"/>
    <w:rsid w:val="00735E3D"/>
    <w:rsid w:val="00740DAA"/>
    <w:rsid w:val="00756824"/>
    <w:rsid w:val="00784BBD"/>
    <w:rsid w:val="007B7178"/>
    <w:rsid w:val="007C1575"/>
    <w:rsid w:val="007D00C3"/>
    <w:rsid w:val="007D5DE0"/>
    <w:rsid w:val="007E59E1"/>
    <w:rsid w:val="007F4827"/>
    <w:rsid w:val="008006E7"/>
    <w:rsid w:val="0080365C"/>
    <w:rsid w:val="00804D72"/>
    <w:rsid w:val="008305E8"/>
    <w:rsid w:val="00842FB5"/>
    <w:rsid w:val="00856E49"/>
    <w:rsid w:val="008914FA"/>
    <w:rsid w:val="00892CCD"/>
    <w:rsid w:val="008A0858"/>
    <w:rsid w:val="008B67A9"/>
    <w:rsid w:val="008C0E1B"/>
    <w:rsid w:val="008D7A1D"/>
    <w:rsid w:val="008E0C46"/>
    <w:rsid w:val="008E1074"/>
    <w:rsid w:val="008F5D2B"/>
    <w:rsid w:val="00901450"/>
    <w:rsid w:val="00944C84"/>
    <w:rsid w:val="00952401"/>
    <w:rsid w:val="00961A25"/>
    <w:rsid w:val="00964704"/>
    <w:rsid w:val="00967342"/>
    <w:rsid w:val="00972A03"/>
    <w:rsid w:val="009752FF"/>
    <w:rsid w:val="009A3151"/>
    <w:rsid w:val="009B07D1"/>
    <w:rsid w:val="009B180A"/>
    <w:rsid w:val="009B7888"/>
    <w:rsid w:val="009C240C"/>
    <w:rsid w:val="009D21F6"/>
    <w:rsid w:val="00A07732"/>
    <w:rsid w:val="00A10BB4"/>
    <w:rsid w:val="00A2559C"/>
    <w:rsid w:val="00A30641"/>
    <w:rsid w:val="00A34068"/>
    <w:rsid w:val="00A65D98"/>
    <w:rsid w:val="00A90573"/>
    <w:rsid w:val="00A93207"/>
    <w:rsid w:val="00AA5A51"/>
    <w:rsid w:val="00AC48F8"/>
    <w:rsid w:val="00AD11EA"/>
    <w:rsid w:val="00AD2A6C"/>
    <w:rsid w:val="00AF3113"/>
    <w:rsid w:val="00B02B6D"/>
    <w:rsid w:val="00B12165"/>
    <w:rsid w:val="00B14855"/>
    <w:rsid w:val="00B3737C"/>
    <w:rsid w:val="00B54F86"/>
    <w:rsid w:val="00B678B1"/>
    <w:rsid w:val="00B70F82"/>
    <w:rsid w:val="00BA3A64"/>
    <w:rsid w:val="00BB04FF"/>
    <w:rsid w:val="00BB4B91"/>
    <w:rsid w:val="00BC4E29"/>
    <w:rsid w:val="00BD1628"/>
    <w:rsid w:val="00BE1A85"/>
    <w:rsid w:val="00BE43D7"/>
    <w:rsid w:val="00BE6E3D"/>
    <w:rsid w:val="00BF5AD3"/>
    <w:rsid w:val="00C3263B"/>
    <w:rsid w:val="00C37275"/>
    <w:rsid w:val="00C61267"/>
    <w:rsid w:val="00C6268C"/>
    <w:rsid w:val="00C70526"/>
    <w:rsid w:val="00C72A3C"/>
    <w:rsid w:val="00C7511F"/>
    <w:rsid w:val="00C9083A"/>
    <w:rsid w:val="00C90A87"/>
    <w:rsid w:val="00C95810"/>
    <w:rsid w:val="00C9723B"/>
    <w:rsid w:val="00CB2E66"/>
    <w:rsid w:val="00CE46FF"/>
    <w:rsid w:val="00CF4C24"/>
    <w:rsid w:val="00D0125E"/>
    <w:rsid w:val="00D046FC"/>
    <w:rsid w:val="00D06C16"/>
    <w:rsid w:val="00D13316"/>
    <w:rsid w:val="00D36DA1"/>
    <w:rsid w:val="00D418E1"/>
    <w:rsid w:val="00D4241D"/>
    <w:rsid w:val="00D74559"/>
    <w:rsid w:val="00D80F8A"/>
    <w:rsid w:val="00D92C1B"/>
    <w:rsid w:val="00DC5EF5"/>
    <w:rsid w:val="00DE4DAD"/>
    <w:rsid w:val="00DF1E82"/>
    <w:rsid w:val="00E13604"/>
    <w:rsid w:val="00E24284"/>
    <w:rsid w:val="00E31D9A"/>
    <w:rsid w:val="00E55F67"/>
    <w:rsid w:val="00E5767B"/>
    <w:rsid w:val="00E60DF5"/>
    <w:rsid w:val="00E75D2B"/>
    <w:rsid w:val="00E80814"/>
    <w:rsid w:val="00EA6097"/>
    <w:rsid w:val="00EA7FA3"/>
    <w:rsid w:val="00EE5B9B"/>
    <w:rsid w:val="00EF7937"/>
    <w:rsid w:val="00F15CD6"/>
    <w:rsid w:val="00F16ADF"/>
    <w:rsid w:val="00F604D2"/>
    <w:rsid w:val="00F75D6B"/>
    <w:rsid w:val="00F85886"/>
    <w:rsid w:val="00F86DEA"/>
    <w:rsid w:val="00F8760A"/>
    <w:rsid w:val="00FB0749"/>
    <w:rsid w:val="00FB43ED"/>
    <w:rsid w:val="00FC4670"/>
    <w:rsid w:val="00FD7404"/>
    <w:rsid w:val="00FD79D4"/>
    <w:rsid w:val="00FE5AF1"/>
    <w:rsid w:val="00FF2AFF"/>
    <w:rsid w:val="00FF458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56824"/>
    <w:pPr>
      <w:spacing w:before="120" w:after="120" w:line="360" w:lineRule="auto"/>
    </w:pPr>
    <w:rPr>
      <w:sz w:val="24"/>
      <w:szCs w:val="24"/>
      <w:lang w:val="en-GB" w:eastAsia="en-US"/>
    </w:rPr>
  </w:style>
  <w:style w:type="paragraph" w:styleId="Overskrift1">
    <w:name w:val="heading 1"/>
    <w:basedOn w:val="Normal"/>
    <w:next w:val="Normal"/>
    <w:link w:val="Overskrift1Tegn"/>
    <w:qFormat/>
    <w:rsid w:val="00006308"/>
    <w:pPr>
      <w:keepNext/>
      <w:numPr>
        <w:numId w:val="24"/>
      </w:numPr>
      <w:tabs>
        <w:tab w:val="clear" w:pos="360"/>
        <w:tab w:val="num" w:pos="851"/>
      </w:tabs>
      <w:spacing w:before="360" w:line="240" w:lineRule="auto"/>
      <w:ind w:left="851" w:hanging="851"/>
      <w:jc w:val="both"/>
      <w:outlineLvl w:val="0"/>
    </w:pPr>
    <w:rPr>
      <w:b/>
      <w:bCs/>
      <w:smallCaps/>
      <w:lang w:eastAsia="fr-BE"/>
    </w:rPr>
  </w:style>
  <w:style w:type="paragraph" w:styleId="Overskrift2">
    <w:name w:val="heading 2"/>
    <w:basedOn w:val="Normal"/>
    <w:next w:val="Normal"/>
    <w:link w:val="Overskrift2Tegn"/>
    <w:qFormat/>
    <w:rsid w:val="00006308"/>
    <w:pPr>
      <w:keepNext/>
      <w:numPr>
        <w:numId w:val="21"/>
      </w:numPr>
      <w:tabs>
        <w:tab w:val="clear" w:pos="643"/>
        <w:tab w:val="num" w:pos="851"/>
      </w:tabs>
      <w:spacing w:line="240" w:lineRule="auto"/>
      <w:ind w:left="851" w:hanging="851"/>
      <w:jc w:val="both"/>
      <w:outlineLvl w:val="1"/>
    </w:pPr>
    <w:rPr>
      <w:b/>
      <w:bCs/>
      <w:lang w:eastAsia="fr-BE"/>
    </w:rPr>
  </w:style>
  <w:style w:type="paragraph" w:styleId="Overskrift3">
    <w:name w:val="heading 3"/>
    <w:basedOn w:val="Normal"/>
    <w:next w:val="Normal"/>
    <w:link w:val="Overskrift3Tegn"/>
    <w:qFormat/>
    <w:rsid w:val="00006308"/>
    <w:pPr>
      <w:keepNext/>
      <w:numPr>
        <w:numId w:val="22"/>
      </w:numPr>
      <w:tabs>
        <w:tab w:val="clear" w:pos="926"/>
        <w:tab w:val="num" w:pos="851"/>
      </w:tabs>
      <w:spacing w:line="240" w:lineRule="auto"/>
      <w:ind w:left="851" w:hanging="851"/>
      <w:jc w:val="both"/>
      <w:outlineLvl w:val="2"/>
    </w:pPr>
    <w:rPr>
      <w:i/>
      <w:iCs/>
      <w:lang w:eastAsia="fr-BE"/>
    </w:rPr>
  </w:style>
  <w:style w:type="paragraph" w:styleId="Overskrift4">
    <w:name w:val="heading 4"/>
    <w:basedOn w:val="Normal"/>
    <w:next w:val="Normal"/>
    <w:link w:val="Overskrift4Tegn"/>
    <w:qFormat/>
    <w:rsid w:val="00006308"/>
    <w:pPr>
      <w:keepNext/>
      <w:numPr>
        <w:numId w:val="23"/>
      </w:numPr>
      <w:tabs>
        <w:tab w:val="clear" w:pos="1209"/>
        <w:tab w:val="num" w:pos="851"/>
      </w:tabs>
      <w:spacing w:line="240" w:lineRule="auto"/>
      <w:ind w:left="851" w:hanging="851"/>
      <w:jc w:val="both"/>
      <w:outlineLvl w:val="3"/>
    </w:pPr>
    <w:rPr>
      <w:lang w:eastAsia="fr-BE"/>
    </w:rPr>
  </w:style>
  <w:style w:type="paragraph" w:styleId="Overskrift5">
    <w:name w:val="heading 5"/>
    <w:basedOn w:val="Normal"/>
    <w:next w:val="Normal"/>
    <w:link w:val="Overskrift5Tegn"/>
    <w:qFormat/>
    <w:rsid w:val="00006308"/>
    <w:pPr>
      <w:spacing w:before="240" w:after="60" w:line="240" w:lineRule="auto"/>
      <w:jc w:val="both"/>
      <w:outlineLvl w:val="4"/>
    </w:pPr>
    <w:rPr>
      <w:rFonts w:ascii="Arial" w:hAnsi="Arial" w:cs="Arial"/>
      <w:sz w:val="22"/>
      <w:szCs w:val="22"/>
      <w:lang w:eastAsia="fr-BE"/>
    </w:rPr>
  </w:style>
  <w:style w:type="paragraph" w:styleId="Overskrift6">
    <w:name w:val="heading 6"/>
    <w:basedOn w:val="Normal"/>
    <w:next w:val="Normal"/>
    <w:link w:val="Overskrift6Tegn"/>
    <w:qFormat/>
    <w:rsid w:val="00006308"/>
    <w:pPr>
      <w:spacing w:before="240" w:after="60" w:line="240" w:lineRule="auto"/>
      <w:jc w:val="both"/>
      <w:outlineLvl w:val="5"/>
    </w:pPr>
    <w:rPr>
      <w:rFonts w:ascii="Arial" w:hAnsi="Arial" w:cs="Arial"/>
      <w:i/>
      <w:iCs/>
      <w:sz w:val="22"/>
      <w:szCs w:val="22"/>
      <w:lang w:eastAsia="fr-BE"/>
    </w:rPr>
  </w:style>
  <w:style w:type="paragraph" w:styleId="Overskrift7">
    <w:name w:val="heading 7"/>
    <w:basedOn w:val="Normal"/>
    <w:next w:val="Normal"/>
    <w:link w:val="Overskrift7Tegn"/>
    <w:qFormat/>
    <w:rsid w:val="00006308"/>
    <w:pPr>
      <w:spacing w:before="240" w:after="60" w:line="240" w:lineRule="auto"/>
      <w:jc w:val="both"/>
      <w:outlineLvl w:val="6"/>
    </w:pPr>
    <w:rPr>
      <w:rFonts w:ascii="Arial" w:hAnsi="Arial" w:cs="Arial"/>
      <w:sz w:val="20"/>
      <w:szCs w:val="20"/>
      <w:lang w:eastAsia="fr-BE"/>
    </w:rPr>
  </w:style>
  <w:style w:type="paragraph" w:styleId="Overskrift8">
    <w:name w:val="heading 8"/>
    <w:basedOn w:val="Normal"/>
    <w:next w:val="Normal"/>
    <w:link w:val="Overskrift8Tegn"/>
    <w:qFormat/>
    <w:rsid w:val="00006308"/>
    <w:pPr>
      <w:spacing w:before="240" w:after="60" w:line="240" w:lineRule="auto"/>
      <w:jc w:val="both"/>
      <w:outlineLvl w:val="7"/>
    </w:pPr>
    <w:rPr>
      <w:rFonts w:ascii="Arial" w:hAnsi="Arial" w:cs="Arial"/>
      <w:i/>
      <w:iCs/>
      <w:sz w:val="20"/>
      <w:szCs w:val="20"/>
      <w:lang w:eastAsia="fr-BE"/>
    </w:rPr>
  </w:style>
  <w:style w:type="paragraph" w:styleId="Overskrift9">
    <w:name w:val="heading 9"/>
    <w:basedOn w:val="Normal"/>
    <w:next w:val="Normal"/>
    <w:link w:val="Overskrift9Tegn"/>
    <w:qFormat/>
    <w:rsid w:val="00006308"/>
    <w:pPr>
      <w:spacing w:before="240" w:after="60" w:line="240" w:lineRule="auto"/>
      <w:jc w:val="both"/>
      <w:outlineLvl w:val="8"/>
    </w:pPr>
    <w:rPr>
      <w:rFonts w:ascii="Arial" w:hAnsi="Arial" w:cs="Arial"/>
      <w:i/>
      <w:iCs/>
      <w:sz w:val="18"/>
      <w:szCs w:val="18"/>
      <w:lang w:eastAsia="fr-B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F86DEA"/>
    <w:pPr>
      <w:tabs>
        <w:tab w:val="right" w:pos="9638"/>
      </w:tabs>
    </w:pPr>
  </w:style>
  <w:style w:type="paragraph" w:styleId="Bunntekst">
    <w:name w:val="footer"/>
    <w:basedOn w:val="Normal"/>
    <w:link w:val="BunntekstTegn"/>
    <w:uiPriority w:val="99"/>
    <w:rsid w:val="00F86DEA"/>
    <w:pPr>
      <w:tabs>
        <w:tab w:val="center" w:pos="4819"/>
        <w:tab w:val="center" w:pos="7370"/>
        <w:tab w:val="right" w:pos="9638"/>
      </w:tabs>
      <w:spacing w:before="0" w:after="0" w:line="240" w:lineRule="auto"/>
    </w:pPr>
  </w:style>
  <w:style w:type="paragraph" w:styleId="Fotnotetekst">
    <w:name w:val="footnote text"/>
    <w:aliases w:val="single space"/>
    <w:basedOn w:val="Normal"/>
    <w:link w:val="FotnotetekstTegn"/>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tnotereferanse">
    <w:name w:val="footnote reference"/>
    <w:aliases w:val="Footnote call,SUPERS,-E Fußnotenzeichen,Footnote,Footnote symbol,Times 10 Point,Exposant 3 Point,number,Footnote reference number,note TESI,EN Footnote Reference,Footnote Reference/,Footnote Reference Number,Footnote Refernece,BVI fn"/>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592014"/>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uiPriority w:val="99"/>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numPr>
        <w:numId w:val="2"/>
      </w:numPr>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484E10"/>
    <w:pPr>
      <w:spacing w:before="0" w:after="440"/>
      <w:ind w:left="-1134" w:right="-1134"/>
    </w:pPr>
    <w:rPr>
      <w:sz w:val="2"/>
    </w:rPr>
  </w:style>
  <w:style w:type="character" w:customStyle="1" w:styleId="TechnicalBlockChar">
    <w:name w:val="Technical Block Char"/>
    <w:basedOn w:val="Standardskriftforavsnitt"/>
    <w:link w:val="TechnicalBlock"/>
    <w:rsid w:val="00484E10"/>
    <w:rPr>
      <w:sz w:val="24"/>
      <w:szCs w:val="24"/>
      <w:lang w:val="en-GB" w:eastAsia="en-US"/>
    </w:rPr>
  </w:style>
  <w:style w:type="character" w:customStyle="1" w:styleId="HeaderCouncilLargeChar">
    <w:name w:val="Header Council Large Char"/>
    <w:basedOn w:val="TechnicalBlockChar"/>
    <w:link w:val="HeaderCouncilLarge"/>
    <w:rsid w:val="00484E10"/>
    <w:rPr>
      <w:sz w:val="2"/>
      <w:szCs w:val="24"/>
      <w:lang w:val="en-GB" w:eastAsia="en-US"/>
    </w:rPr>
  </w:style>
  <w:style w:type="paragraph" w:customStyle="1" w:styleId="FooterText">
    <w:name w:val="Footer Text"/>
    <w:basedOn w:val="Normal"/>
    <w:rsid w:val="00484E10"/>
    <w:pPr>
      <w:spacing w:before="0" w:after="0" w:line="240" w:lineRule="auto"/>
    </w:pPr>
  </w:style>
  <w:style w:type="character" w:customStyle="1" w:styleId="Overskrift1Tegn">
    <w:name w:val="Overskrift 1 Tegn"/>
    <w:basedOn w:val="Standardskriftforavsnitt"/>
    <w:link w:val="Overskrift1"/>
    <w:rsid w:val="00006308"/>
    <w:rPr>
      <w:b/>
      <w:bCs/>
      <w:smallCaps/>
      <w:sz w:val="24"/>
      <w:szCs w:val="24"/>
      <w:lang w:val="en-GB" w:eastAsia="fr-BE"/>
    </w:rPr>
  </w:style>
  <w:style w:type="character" w:customStyle="1" w:styleId="Overskrift2Tegn">
    <w:name w:val="Overskrift 2 Tegn"/>
    <w:basedOn w:val="Standardskriftforavsnitt"/>
    <w:link w:val="Overskrift2"/>
    <w:rsid w:val="00006308"/>
    <w:rPr>
      <w:b/>
      <w:bCs/>
      <w:sz w:val="24"/>
      <w:szCs w:val="24"/>
      <w:lang w:val="en-GB" w:eastAsia="fr-BE"/>
    </w:rPr>
  </w:style>
  <w:style w:type="character" w:customStyle="1" w:styleId="Overskrift3Tegn">
    <w:name w:val="Overskrift 3 Tegn"/>
    <w:basedOn w:val="Standardskriftforavsnitt"/>
    <w:link w:val="Overskrift3"/>
    <w:rsid w:val="00006308"/>
    <w:rPr>
      <w:i/>
      <w:iCs/>
      <w:sz w:val="24"/>
      <w:szCs w:val="24"/>
      <w:lang w:val="en-GB" w:eastAsia="fr-BE"/>
    </w:rPr>
  </w:style>
  <w:style w:type="character" w:customStyle="1" w:styleId="Overskrift4Tegn">
    <w:name w:val="Overskrift 4 Tegn"/>
    <w:basedOn w:val="Standardskriftforavsnitt"/>
    <w:link w:val="Overskrift4"/>
    <w:rsid w:val="00006308"/>
    <w:rPr>
      <w:sz w:val="24"/>
      <w:szCs w:val="24"/>
      <w:lang w:val="en-GB" w:eastAsia="fr-BE"/>
    </w:rPr>
  </w:style>
  <w:style w:type="character" w:customStyle="1" w:styleId="Overskrift5Tegn">
    <w:name w:val="Overskrift 5 Tegn"/>
    <w:basedOn w:val="Standardskriftforavsnitt"/>
    <w:link w:val="Overskrift5"/>
    <w:rsid w:val="00006308"/>
    <w:rPr>
      <w:rFonts w:ascii="Arial" w:hAnsi="Arial" w:cs="Arial"/>
      <w:sz w:val="22"/>
      <w:szCs w:val="22"/>
      <w:lang w:val="en-GB" w:eastAsia="fr-BE"/>
    </w:rPr>
  </w:style>
  <w:style w:type="character" w:customStyle="1" w:styleId="Overskrift6Tegn">
    <w:name w:val="Overskrift 6 Tegn"/>
    <w:basedOn w:val="Standardskriftforavsnitt"/>
    <w:link w:val="Overskrift6"/>
    <w:rsid w:val="00006308"/>
    <w:rPr>
      <w:rFonts w:ascii="Arial" w:hAnsi="Arial" w:cs="Arial"/>
      <w:i/>
      <w:iCs/>
      <w:sz w:val="22"/>
      <w:szCs w:val="22"/>
      <w:lang w:val="en-GB" w:eastAsia="fr-BE"/>
    </w:rPr>
  </w:style>
  <w:style w:type="character" w:customStyle="1" w:styleId="Overskrift7Tegn">
    <w:name w:val="Overskrift 7 Tegn"/>
    <w:basedOn w:val="Standardskriftforavsnitt"/>
    <w:link w:val="Overskrift7"/>
    <w:rsid w:val="00006308"/>
    <w:rPr>
      <w:rFonts w:ascii="Arial" w:hAnsi="Arial" w:cs="Arial"/>
      <w:lang w:val="en-GB" w:eastAsia="fr-BE"/>
    </w:rPr>
  </w:style>
  <w:style w:type="character" w:customStyle="1" w:styleId="Overskrift8Tegn">
    <w:name w:val="Overskrift 8 Tegn"/>
    <w:basedOn w:val="Standardskriftforavsnitt"/>
    <w:link w:val="Overskrift8"/>
    <w:rsid w:val="00006308"/>
    <w:rPr>
      <w:rFonts w:ascii="Arial" w:hAnsi="Arial" w:cs="Arial"/>
      <w:i/>
      <w:iCs/>
      <w:lang w:val="en-GB" w:eastAsia="fr-BE"/>
    </w:rPr>
  </w:style>
  <w:style w:type="character" w:customStyle="1" w:styleId="Overskrift9Tegn">
    <w:name w:val="Overskrift 9 Tegn"/>
    <w:basedOn w:val="Standardskriftforavsnitt"/>
    <w:link w:val="Overskrift9"/>
    <w:rsid w:val="00006308"/>
    <w:rPr>
      <w:rFonts w:ascii="Arial" w:hAnsi="Arial" w:cs="Arial"/>
      <w:i/>
      <w:iCs/>
      <w:sz w:val="18"/>
      <w:szCs w:val="18"/>
      <w:lang w:val="en-GB" w:eastAsia="fr-BE"/>
    </w:rPr>
  </w:style>
  <w:style w:type="character" w:customStyle="1" w:styleId="TopptekstTegn">
    <w:name w:val="Topptekst Tegn"/>
    <w:basedOn w:val="Standardskriftforavsnitt"/>
    <w:link w:val="Topptekst"/>
    <w:rsid w:val="00006308"/>
    <w:rPr>
      <w:sz w:val="24"/>
      <w:szCs w:val="24"/>
      <w:lang w:val="en-GB" w:eastAsia="en-US"/>
    </w:rPr>
  </w:style>
  <w:style w:type="character" w:customStyle="1" w:styleId="BunntekstTegn">
    <w:name w:val="Bunntekst Tegn"/>
    <w:basedOn w:val="Standardskriftforavsnitt"/>
    <w:link w:val="Bunntekst"/>
    <w:uiPriority w:val="99"/>
    <w:rsid w:val="00006308"/>
    <w:rPr>
      <w:sz w:val="24"/>
      <w:szCs w:val="24"/>
      <w:lang w:val="en-GB" w:eastAsia="en-US"/>
    </w:rPr>
  </w:style>
  <w:style w:type="character" w:customStyle="1" w:styleId="FotnotetekstTegn">
    <w:name w:val="Fotnotetekst Tegn"/>
    <w:aliases w:val="single space Tegn"/>
    <w:basedOn w:val="Standardskriftforavsnitt"/>
    <w:link w:val="Fotnotetekst"/>
    <w:rsid w:val="00006308"/>
    <w:rPr>
      <w:sz w:val="24"/>
      <w:lang w:val="en-GB" w:eastAsia="en-US"/>
    </w:rPr>
  </w:style>
  <w:style w:type="paragraph" w:customStyle="1" w:styleId="CharChar1CharCharChar">
    <w:name w:val="Char Char1 Char Char Char"/>
    <w:basedOn w:val="Normal"/>
    <w:rsid w:val="00006308"/>
    <w:pPr>
      <w:spacing w:before="0" w:after="0" w:line="240" w:lineRule="auto"/>
    </w:pPr>
    <w:rPr>
      <w:lang w:val="pl-PL" w:eastAsia="pl-PL"/>
    </w:rPr>
  </w:style>
  <w:style w:type="paragraph" w:customStyle="1" w:styleId="EntInstit">
    <w:name w:val="EntInstit"/>
    <w:basedOn w:val="Normal"/>
    <w:rsid w:val="00006308"/>
    <w:pPr>
      <w:widowControl w:val="0"/>
      <w:spacing w:before="0" w:after="0" w:line="240" w:lineRule="auto"/>
      <w:jc w:val="right"/>
    </w:pPr>
    <w:rPr>
      <w:b/>
      <w:bCs/>
      <w:lang w:eastAsia="fr-BE"/>
    </w:rPr>
  </w:style>
  <w:style w:type="paragraph" w:customStyle="1" w:styleId="EntRefer">
    <w:name w:val="EntRefer"/>
    <w:basedOn w:val="Normal"/>
    <w:rsid w:val="00006308"/>
    <w:pPr>
      <w:widowControl w:val="0"/>
      <w:spacing w:before="0" w:after="0" w:line="240" w:lineRule="auto"/>
    </w:pPr>
    <w:rPr>
      <w:b/>
      <w:bCs/>
      <w:lang w:eastAsia="fr-BE"/>
    </w:rPr>
  </w:style>
  <w:style w:type="paragraph" w:customStyle="1" w:styleId="Par-number1">
    <w:name w:val="Par-number 1)"/>
    <w:basedOn w:val="Normal"/>
    <w:next w:val="Normal"/>
    <w:rsid w:val="00006308"/>
    <w:pPr>
      <w:widowControl w:val="0"/>
      <w:tabs>
        <w:tab w:val="num" w:pos="567"/>
      </w:tabs>
      <w:spacing w:before="0" w:after="0"/>
      <w:ind w:left="567" w:hanging="567"/>
    </w:pPr>
    <w:rPr>
      <w:lang w:eastAsia="fr-BE"/>
    </w:rPr>
  </w:style>
  <w:style w:type="paragraph" w:customStyle="1" w:styleId="EntEmet">
    <w:name w:val="EntEmet"/>
    <w:basedOn w:val="Normal"/>
    <w:rsid w:val="00006308"/>
    <w:pPr>
      <w:widowControl w:val="0"/>
      <w:tabs>
        <w:tab w:val="left" w:pos="284"/>
        <w:tab w:val="left" w:pos="567"/>
        <w:tab w:val="left" w:pos="851"/>
        <w:tab w:val="left" w:pos="1134"/>
        <w:tab w:val="left" w:pos="1418"/>
      </w:tabs>
      <w:spacing w:before="40" w:after="0" w:line="240" w:lineRule="auto"/>
    </w:pPr>
    <w:rPr>
      <w:lang w:eastAsia="fr-BE"/>
    </w:rPr>
  </w:style>
  <w:style w:type="paragraph" w:customStyle="1" w:styleId="Par-bullet">
    <w:name w:val="Par-bullet"/>
    <w:basedOn w:val="Normal"/>
    <w:next w:val="Normal"/>
    <w:rsid w:val="00006308"/>
    <w:pPr>
      <w:widowControl w:val="0"/>
      <w:tabs>
        <w:tab w:val="num" w:pos="567"/>
      </w:tabs>
      <w:spacing w:before="0" w:after="0"/>
      <w:ind w:left="567" w:hanging="567"/>
    </w:pPr>
    <w:rPr>
      <w:lang w:eastAsia="fr-BE"/>
    </w:rPr>
  </w:style>
  <w:style w:type="paragraph" w:customStyle="1" w:styleId="Par-equal">
    <w:name w:val="Par-equal"/>
    <w:basedOn w:val="Normal"/>
    <w:next w:val="Normal"/>
    <w:rsid w:val="00006308"/>
    <w:pPr>
      <w:widowControl w:val="0"/>
      <w:tabs>
        <w:tab w:val="num" w:pos="567"/>
      </w:tabs>
      <w:spacing w:before="0" w:after="0"/>
      <w:ind w:left="567" w:hanging="567"/>
    </w:pPr>
    <w:rPr>
      <w:lang w:eastAsia="fr-BE"/>
    </w:rPr>
  </w:style>
  <w:style w:type="paragraph" w:styleId="INNH1">
    <w:name w:val="toc 1"/>
    <w:basedOn w:val="Normal"/>
    <w:next w:val="Normal"/>
    <w:link w:val="INNH1Tegn"/>
    <w:semiHidden/>
    <w:rsid w:val="00006308"/>
    <w:pPr>
      <w:widowControl w:val="0"/>
      <w:tabs>
        <w:tab w:val="left" w:pos="567"/>
        <w:tab w:val="right" w:leader="dot" w:pos="9639"/>
      </w:tabs>
      <w:spacing w:before="0" w:after="0"/>
      <w:ind w:left="567" w:right="567" w:hanging="567"/>
    </w:pPr>
    <w:rPr>
      <w:lang w:eastAsia="fr-BE"/>
    </w:rPr>
  </w:style>
  <w:style w:type="character" w:customStyle="1" w:styleId="INNH1Tegn">
    <w:name w:val="INNH 1 Tegn"/>
    <w:link w:val="INNH1"/>
    <w:semiHidden/>
    <w:rsid w:val="00006308"/>
    <w:rPr>
      <w:sz w:val="24"/>
      <w:szCs w:val="24"/>
      <w:lang w:val="en-GB" w:eastAsia="fr-BE"/>
    </w:rPr>
  </w:style>
  <w:style w:type="paragraph" w:customStyle="1" w:styleId="Par-number10">
    <w:name w:val="Par-number (1)"/>
    <w:basedOn w:val="Normal"/>
    <w:next w:val="Normal"/>
    <w:rsid w:val="00006308"/>
    <w:pPr>
      <w:widowControl w:val="0"/>
      <w:tabs>
        <w:tab w:val="num" w:pos="567"/>
      </w:tabs>
      <w:spacing w:before="0" w:after="0"/>
      <w:ind w:left="567" w:hanging="567"/>
    </w:pPr>
    <w:rPr>
      <w:lang w:eastAsia="fr-BE"/>
    </w:rPr>
  </w:style>
  <w:style w:type="paragraph" w:customStyle="1" w:styleId="Par-number11">
    <w:name w:val="Par-number 1."/>
    <w:basedOn w:val="Normal"/>
    <w:next w:val="Normal"/>
    <w:rsid w:val="00006308"/>
    <w:pPr>
      <w:widowControl w:val="0"/>
      <w:tabs>
        <w:tab w:val="num" w:pos="567"/>
      </w:tabs>
      <w:spacing w:before="0" w:after="0"/>
      <w:ind w:left="567" w:hanging="567"/>
    </w:pPr>
    <w:rPr>
      <w:lang w:eastAsia="fr-BE"/>
    </w:rPr>
  </w:style>
  <w:style w:type="paragraph" w:customStyle="1" w:styleId="Par-numberI">
    <w:name w:val="Par-number I."/>
    <w:basedOn w:val="Normal"/>
    <w:next w:val="Normal"/>
    <w:rsid w:val="00006308"/>
    <w:pPr>
      <w:widowControl w:val="0"/>
      <w:tabs>
        <w:tab w:val="num" w:pos="567"/>
      </w:tabs>
      <w:spacing w:before="0" w:after="0"/>
      <w:ind w:left="567" w:hanging="567"/>
    </w:pPr>
    <w:rPr>
      <w:lang w:eastAsia="fr-BE"/>
    </w:rPr>
  </w:style>
  <w:style w:type="paragraph" w:customStyle="1" w:styleId="Par-dash">
    <w:name w:val="Par-dash"/>
    <w:basedOn w:val="Normal"/>
    <w:next w:val="Normal"/>
    <w:rsid w:val="00006308"/>
    <w:pPr>
      <w:widowControl w:val="0"/>
      <w:tabs>
        <w:tab w:val="num" w:pos="567"/>
      </w:tabs>
      <w:spacing w:before="0" w:after="0"/>
      <w:ind w:left="567" w:hanging="567"/>
    </w:pPr>
    <w:rPr>
      <w:lang w:eastAsia="fr-BE"/>
    </w:rPr>
  </w:style>
  <w:style w:type="paragraph" w:customStyle="1" w:styleId="EntLogo">
    <w:name w:val="EntLogo"/>
    <w:basedOn w:val="Normal"/>
    <w:next w:val="EntInstit"/>
    <w:rsid w:val="00006308"/>
    <w:pPr>
      <w:widowControl w:val="0"/>
      <w:spacing w:before="0" w:after="0"/>
    </w:pPr>
    <w:rPr>
      <w:b/>
      <w:bCs/>
      <w:lang w:eastAsia="fr-BE"/>
    </w:rPr>
  </w:style>
  <w:style w:type="paragraph" w:customStyle="1" w:styleId="Par-numberA">
    <w:name w:val="Par-number A."/>
    <w:basedOn w:val="Normal"/>
    <w:next w:val="Normal"/>
    <w:rsid w:val="00006308"/>
    <w:pPr>
      <w:widowControl w:val="0"/>
      <w:tabs>
        <w:tab w:val="num" w:pos="567"/>
      </w:tabs>
      <w:spacing w:before="0" w:after="0"/>
      <w:ind w:left="567" w:hanging="567"/>
    </w:pPr>
    <w:rPr>
      <w:lang w:eastAsia="fr-BE"/>
    </w:rPr>
  </w:style>
  <w:style w:type="paragraph" w:styleId="INNH2">
    <w:name w:val="toc 2"/>
    <w:basedOn w:val="Normal"/>
    <w:next w:val="Normal"/>
    <w:semiHidden/>
    <w:rsid w:val="00006308"/>
    <w:pPr>
      <w:widowControl w:val="0"/>
      <w:tabs>
        <w:tab w:val="left" w:pos="1134"/>
        <w:tab w:val="right" w:leader="dot" w:pos="9639"/>
      </w:tabs>
      <w:spacing w:before="0" w:after="0"/>
      <w:ind w:left="1134" w:right="567" w:hanging="567"/>
    </w:pPr>
    <w:rPr>
      <w:lang w:eastAsia="fr-BE"/>
    </w:rPr>
  </w:style>
  <w:style w:type="paragraph" w:styleId="INNH3">
    <w:name w:val="toc 3"/>
    <w:basedOn w:val="Normal"/>
    <w:next w:val="Normal"/>
    <w:semiHidden/>
    <w:rsid w:val="00006308"/>
    <w:pPr>
      <w:widowControl w:val="0"/>
      <w:tabs>
        <w:tab w:val="left" w:pos="1701"/>
        <w:tab w:val="right" w:leader="dot" w:pos="9639"/>
      </w:tabs>
      <w:spacing w:before="0" w:after="0"/>
      <w:ind w:left="1701" w:right="567" w:hanging="567"/>
    </w:pPr>
    <w:rPr>
      <w:lang w:eastAsia="fr-BE"/>
    </w:rPr>
  </w:style>
  <w:style w:type="paragraph" w:styleId="INNH4">
    <w:name w:val="toc 4"/>
    <w:basedOn w:val="Normal"/>
    <w:next w:val="Normal"/>
    <w:semiHidden/>
    <w:rsid w:val="00006308"/>
    <w:pPr>
      <w:widowControl w:val="0"/>
      <w:tabs>
        <w:tab w:val="left" w:pos="2268"/>
        <w:tab w:val="right" w:pos="9639"/>
      </w:tabs>
      <w:spacing w:before="0" w:after="0"/>
      <w:ind w:left="2268" w:right="567" w:hanging="567"/>
    </w:pPr>
    <w:rPr>
      <w:lang w:eastAsia="fr-BE"/>
    </w:rPr>
  </w:style>
  <w:style w:type="paragraph" w:styleId="INNH5">
    <w:name w:val="toc 5"/>
    <w:basedOn w:val="Normal"/>
    <w:next w:val="Normal"/>
    <w:semiHidden/>
    <w:rsid w:val="00006308"/>
    <w:pPr>
      <w:widowControl w:val="0"/>
      <w:tabs>
        <w:tab w:val="left" w:pos="2835"/>
        <w:tab w:val="right" w:leader="dot" w:pos="9639"/>
      </w:tabs>
      <w:spacing w:before="0" w:after="0"/>
      <w:ind w:left="2835" w:right="567" w:hanging="567"/>
    </w:pPr>
    <w:rPr>
      <w:lang w:eastAsia="fr-BE"/>
    </w:rPr>
  </w:style>
  <w:style w:type="paragraph" w:styleId="INNH6">
    <w:name w:val="toc 6"/>
    <w:basedOn w:val="Normal"/>
    <w:next w:val="Normal"/>
    <w:semiHidden/>
    <w:rsid w:val="00006308"/>
    <w:pPr>
      <w:widowControl w:val="0"/>
      <w:tabs>
        <w:tab w:val="left" w:pos="3402"/>
        <w:tab w:val="right" w:leader="dot" w:pos="9639"/>
      </w:tabs>
      <w:spacing w:before="0" w:after="0"/>
      <w:ind w:left="3402" w:right="567" w:hanging="567"/>
    </w:pPr>
    <w:rPr>
      <w:lang w:eastAsia="fr-BE"/>
    </w:rPr>
  </w:style>
  <w:style w:type="paragraph" w:styleId="INNH7">
    <w:name w:val="toc 7"/>
    <w:basedOn w:val="Normal"/>
    <w:next w:val="Normal"/>
    <w:semiHidden/>
    <w:rsid w:val="00006308"/>
    <w:pPr>
      <w:widowControl w:val="0"/>
      <w:tabs>
        <w:tab w:val="left" w:pos="3969"/>
        <w:tab w:val="right" w:leader="dot" w:pos="9639"/>
      </w:tabs>
      <w:spacing w:before="0" w:after="0"/>
      <w:ind w:left="3969" w:right="567" w:hanging="567"/>
    </w:pPr>
    <w:rPr>
      <w:lang w:eastAsia="fr-BE"/>
    </w:rPr>
  </w:style>
  <w:style w:type="paragraph" w:styleId="INNH8">
    <w:name w:val="toc 8"/>
    <w:basedOn w:val="Normal"/>
    <w:next w:val="Normal"/>
    <w:semiHidden/>
    <w:rsid w:val="00006308"/>
    <w:pPr>
      <w:widowControl w:val="0"/>
      <w:tabs>
        <w:tab w:val="left" w:pos="4536"/>
        <w:tab w:val="right" w:leader="dot" w:pos="9639"/>
      </w:tabs>
      <w:spacing w:before="0" w:after="0"/>
      <w:ind w:left="4536" w:right="567" w:hanging="567"/>
    </w:pPr>
    <w:rPr>
      <w:lang w:eastAsia="fr-BE"/>
    </w:rPr>
  </w:style>
  <w:style w:type="paragraph" w:styleId="INNH9">
    <w:name w:val="toc 9"/>
    <w:basedOn w:val="Normal"/>
    <w:next w:val="Normal"/>
    <w:semiHidden/>
    <w:rsid w:val="00006308"/>
    <w:pPr>
      <w:widowControl w:val="0"/>
      <w:tabs>
        <w:tab w:val="left" w:pos="5103"/>
        <w:tab w:val="right" w:leader="dot" w:pos="9639"/>
      </w:tabs>
      <w:spacing w:before="0" w:after="0"/>
      <w:ind w:left="5103" w:right="567" w:hanging="567"/>
    </w:pPr>
    <w:rPr>
      <w:lang w:eastAsia="fr-BE"/>
    </w:rPr>
  </w:style>
  <w:style w:type="paragraph" w:styleId="Sluttnotetekst">
    <w:name w:val="endnote text"/>
    <w:basedOn w:val="Normal"/>
    <w:link w:val="SluttnotetekstTegn"/>
    <w:semiHidden/>
    <w:rsid w:val="00006308"/>
    <w:pPr>
      <w:widowControl w:val="0"/>
      <w:tabs>
        <w:tab w:val="left" w:pos="567"/>
      </w:tabs>
      <w:spacing w:before="0" w:after="0" w:line="240" w:lineRule="auto"/>
      <w:ind w:left="567" w:hanging="567"/>
    </w:pPr>
    <w:rPr>
      <w:lang w:eastAsia="fr-BE"/>
    </w:rPr>
  </w:style>
  <w:style w:type="character" w:customStyle="1" w:styleId="SluttnotetekstTegn">
    <w:name w:val="Sluttnotetekst Tegn"/>
    <w:basedOn w:val="Standardskriftforavsnitt"/>
    <w:link w:val="Sluttnotetekst"/>
    <w:semiHidden/>
    <w:rsid w:val="00006308"/>
    <w:rPr>
      <w:sz w:val="24"/>
      <w:szCs w:val="24"/>
      <w:lang w:val="en-GB" w:eastAsia="fr-BE"/>
    </w:rPr>
  </w:style>
  <w:style w:type="character" w:styleId="Sluttnotereferanse">
    <w:name w:val="endnote reference"/>
    <w:semiHidden/>
    <w:rsid w:val="00006308"/>
    <w:rPr>
      <w:rFonts w:cs="Times New Roman"/>
      <w:b/>
      <w:bCs/>
      <w:vertAlign w:val="superscript"/>
    </w:rPr>
  </w:style>
  <w:style w:type="paragraph" w:customStyle="1" w:styleId="AC">
    <w:name w:val="AC"/>
    <w:basedOn w:val="Normal"/>
    <w:next w:val="Normal"/>
    <w:rsid w:val="00006308"/>
    <w:pPr>
      <w:widowControl w:val="0"/>
      <w:spacing w:before="0" w:after="0"/>
    </w:pPr>
    <w:rPr>
      <w:b/>
      <w:bCs/>
      <w:sz w:val="40"/>
      <w:szCs w:val="40"/>
      <w:lang w:eastAsia="fr-BE"/>
    </w:rPr>
  </w:style>
  <w:style w:type="character" w:styleId="Sidetall">
    <w:name w:val="page number"/>
    <w:rsid w:val="00006308"/>
    <w:rPr>
      <w:rFonts w:cs="Times New Roman"/>
    </w:rPr>
  </w:style>
  <w:style w:type="paragraph" w:customStyle="1" w:styleId="Par-numberi0">
    <w:name w:val="Par-number (i)"/>
    <w:basedOn w:val="Normal"/>
    <w:next w:val="Normal"/>
    <w:rsid w:val="00006308"/>
    <w:pPr>
      <w:widowControl w:val="0"/>
      <w:tabs>
        <w:tab w:val="left" w:pos="567"/>
      </w:tabs>
      <w:spacing w:before="0" w:after="0"/>
      <w:ind w:left="567" w:hanging="567"/>
    </w:pPr>
    <w:rPr>
      <w:lang w:eastAsia="fr-BE"/>
    </w:rPr>
  </w:style>
  <w:style w:type="paragraph" w:customStyle="1" w:styleId="Par-numbera0">
    <w:name w:val="Par-number (a)"/>
    <w:basedOn w:val="Normal"/>
    <w:next w:val="Normal"/>
    <w:rsid w:val="00006308"/>
    <w:pPr>
      <w:widowControl w:val="0"/>
      <w:tabs>
        <w:tab w:val="num" w:pos="567"/>
      </w:tabs>
      <w:spacing w:before="0" w:after="0"/>
      <w:ind w:left="567" w:hanging="567"/>
    </w:pPr>
    <w:rPr>
      <w:lang w:eastAsia="fr-BE"/>
    </w:rPr>
  </w:style>
  <w:style w:type="character" w:customStyle="1" w:styleId="DontTranslate">
    <w:name w:val="DontTranslate"/>
    <w:rsid w:val="00006308"/>
    <w:rPr>
      <w:rFonts w:cs="Times New Roman"/>
      <w:color w:val="auto"/>
    </w:rPr>
  </w:style>
  <w:style w:type="paragraph" w:customStyle="1" w:styleId="AddReference">
    <w:name w:val="Add Reference"/>
    <w:basedOn w:val="Normal"/>
    <w:rsid w:val="00006308"/>
    <w:pPr>
      <w:widowControl w:val="0"/>
      <w:pBdr>
        <w:top w:val="single" w:sz="4" w:space="1" w:color="auto"/>
        <w:left w:val="single" w:sz="4" w:space="4" w:color="auto"/>
        <w:bottom w:val="single" w:sz="4" w:space="1" w:color="auto"/>
        <w:right w:val="single" w:sz="4" w:space="4" w:color="auto"/>
      </w:pBdr>
      <w:spacing w:before="0" w:after="0" w:line="240" w:lineRule="auto"/>
      <w:ind w:left="7655" w:right="-454"/>
    </w:pPr>
    <w:rPr>
      <w:i/>
      <w:iCs/>
      <w:sz w:val="20"/>
      <w:szCs w:val="20"/>
    </w:rPr>
  </w:style>
  <w:style w:type="paragraph" w:customStyle="1" w:styleId="Point0">
    <w:name w:val="Point 0"/>
    <w:basedOn w:val="Normal"/>
    <w:rsid w:val="00006308"/>
    <w:pPr>
      <w:ind w:left="850" w:hanging="850"/>
    </w:pPr>
  </w:style>
  <w:style w:type="paragraph" w:customStyle="1" w:styleId="Point1">
    <w:name w:val="Point 1"/>
    <w:basedOn w:val="Normal"/>
    <w:link w:val="Point1Char"/>
    <w:rsid w:val="00006308"/>
    <w:pPr>
      <w:ind w:left="1417" w:hanging="567"/>
    </w:pPr>
  </w:style>
  <w:style w:type="paragraph" w:customStyle="1" w:styleId="ChapterTitle">
    <w:name w:val="ChapterTitle"/>
    <w:basedOn w:val="Normal"/>
    <w:next w:val="Normal"/>
    <w:rsid w:val="00006308"/>
    <w:pPr>
      <w:keepNext/>
      <w:spacing w:after="360"/>
      <w:jc w:val="center"/>
    </w:pPr>
    <w:rPr>
      <w:b/>
      <w:bCs/>
      <w:sz w:val="32"/>
      <w:szCs w:val="32"/>
    </w:rPr>
  </w:style>
  <w:style w:type="paragraph" w:customStyle="1" w:styleId="Annexetitreacte">
    <w:name w:val="Annexe titre (acte)"/>
    <w:basedOn w:val="Normal"/>
    <w:next w:val="Normal"/>
    <w:rsid w:val="00006308"/>
    <w:pPr>
      <w:jc w:val="center"/>
    </w:pPr>
    <w:rPr>
      <w:b/>
      <w:bCs/>
      <w:u w:val="single"/>
    </w:rPr>
  </w:style>
  <w:style w:type="paragraph" w:customStyle="1" w:styleId="Applicationdirecte">
    <w:name w:val="Application directe"/>
    <w:basedOn w:val="Normal"/>
    <w:next w:val="Fait"/>
    <w:rsid w:val="00006308"/>
    <w:pPr>
      <w:spacing w:before="480"/>
    </w:pPr>
  </w:style>
  <w:style w:type="paragraph" w:customStyle="1" w:styleId="Fait">
    <w:name w:val="Fait à"/>
    <w:basedOn w:val="Normal"/>
    <w:next w:val="Institutionquisigne"/>
    <w:rsid w:val="00006308"/>
    <w:pPr>
      <w:keepNext/>
      <w:spacing w:after="0"/>
    </w:pPr>
  </w:style>
  <w:style w:type="paragraph" w:customStyle="1" w:styleId="Institutionquisigne">
    <w:name w:val="Institution qui signe"/>
    <w:basedOn w:val="Normal"/>
    <w:next w:val="Personnequisigne"/>
    <w:rsid w:val="00006308"/>
    <w:pPr>
      <w:keepNext/>
      <w:tabs>
        <w:tab w:val="left" w:pos="4252"/>
      </w:tabs>
      <w:spacing w:before="720" w:after="0"/>
    </w:pPr>
    <w:rPr>
      <w:i/>
      <w:iCs/>
    </w:rPr>
  </w:style>
  <w:style w:type="paragraph" w:customStyle="1" w:styleId="Personnequisigne">
    <w:name w:val="Personne qui signe"/>
    <w:basedOn w:val="Normal"/>
    <w:next w:val="Institutionquisigne"/>
    <w:rsid w:val="00006308"/>
    <w:pPr>
      <w:tabs>
        <w:tab w:val="left" w:pos="4252"/>
      </w:tabs>
      <w:spacing w:before="0" w:after="0"/>
    </w:pPr>
    <w:rPr>
      <w:i/>
      <w:iCs/>
    </w:rPr>
  </w:style>
  <w:style w:type="paragraph" w:customStyle="1" w:styleId="Datedadoption">
    <w:name w:val="Date d'adoption"/>
    <w:basedOn w:val="Normal"/>
    <w:next w:val="Titreobjet"/>
    <w:rsid w:val="00006308"/>
    <w:pPr>
      <w:spacing w:before="360" w:after="0"/>
      <w:jc w:val="center"/>
    </w:pPr>
    <w:rPr>
      <w:b/>
      <w:bCs/>
    </w:rPr>
  </w:style>
  <w:style w:type="paragraph" w:customStyle="1" w:styleId="Titreobjet">
    <w:name w:val="Titre objet"/>
    <w:basedOn w:val="Normal"/>
    <w:next w:val="Sous-titreobjet"/>
    <w:rsid w:val="00006308"/>
    <w:pPr>
      <w:spacing w:before="360" w:after="360"/>
      <w:jc w:val="center"/>
    </w:pPr>
    <w:rPr>
      <w:b/>
      <w:bCs/>
    </w:rPr>
  </w:style>
  <w:style w:type="paragraph" w:customStyle="1" w:styleId="Sous-titreobjet">
    <w:name w:val="Sous-titre objet"/>
    <w:basedOn w:val="Normal"/>
    <w:rsid w:val="00006308"/>
    <w:pPr>
      <w:spacing w:before="0" w:after="0"/>
      <w:jc w:val="center"/>
    </w:pPr>
    <w:rPr>
      <w:b/>
      <w:bCs/>
    </w:rPr>
  </w:style>
  <w:style w:type="paragraph" w:customStyle="1" w:styleId="Formuledadoption">
    <w:name w:val="Formule d'adoption"/>
    <w:basedOn w:val="Normal"/>
    <w:next w:val="Titrearticle"/>
    <w:rsid w:val="00006308"/>
    <w:pPr>
      <w:keepNext/>
    </w:pPr>
  </w:style>
  <w:style w:type="paragraph" w:customStyle="1" w:styleId="Titrearticle">
    <w:name w:val="Titre article"/>
    <w:basedOn w:val="Normal"/>
    <w:next w:val="Normal"/>
    <w:link w:val="TitrearticleChar"/>
    <w:uiPriority w:val="99"/>
    <w:rsid w:val="00006308"/>
    <w:pPr>
      <w:keepNext/>
      <w:spacing w:before="360"/>
      <w:jc w:val="center"/>
    </w:pPr>
    <w:rPr>
      <w:i/>
      <w:iCs/>
    </w:rPr>
  </w:style>
  <w:style w:type="character" w:customStyle="1" w:styleId="TitrearticleChar">
    <w:name w:val="Titre article Char"/>
    <w:link w:val="Titrearticle"/>
    <w:uiPriority w:val="99"/>
    <w:rsid w:val="00006308"/>
    <w:rPr>
      <w:i/>
      <w:iCs/>
      <w:sz w:val="24"/>
      <w:szCs w:val="24"/>
      <w:lang w:val="en-GB" w:eastAsia="en-US"/>
    </w:rPr>
  </w:style>
  <w:style w:type="paragraph" w:customStyle="1" w:styleId="Institutionquiagit">
    <w:name w:val="Institution qui agit"/>
    <w:basedOn w:val="Normal"/>
    <w:next w:val="Normal"/>
    <w:rsid w:val="00006308"/>
    <w:pPr>
      <w:keepNext/>
      <w:spacing w:before="600"/>
    </w:pPr>
  </w:style>
  <w:style w:type="paragraph" w:customStyle="1" w:styleId="ManualConsidrant">
    <w:name w:val="Manual Considérant"/>
    <w:basedOn w:val="Normal"/>
    <w:rsid w:val="00006308"/>
    <w:pPr>
      <w:ind w:left="850" w:hanging="850"/>
    </w:pPr>
  </w:style>
  <w:style w:type="paragraph" w:customStyle="1" w:styleId="Typedudocument">
    <w:name w:val="Type du document"/>
    <w:basedOn w:val="Normal"/>
    <w:next w:val="Datedadoption"/>
    <w:rsid w:val="00006308"/>
    <w:pPr>
      <w:spacing w:before="360" w:after="0"/>
      <w:jc w:val="center"/>
    </w:pPr>
    <w:rPr>
      <w:b/>
      <w:bCs/>
    </w:rPr>
  </w:style>
  <w:style w:type="paragraph" w:customStyle="1" w:styleId="Lignefinal">
    <w:name w:val="Ligne final"/>
    <w:basedOn w:val="Normal"/>
    <w:next w:val="Normal"/>
    <w:rsid w:val="00006308"/>
    <w:pPr>
      <w:pBdr>
        <w:bottom w:val="single" w:sz="4" w:space="0" w:color="000000"/>
      </w:pBdr>
      <w:spacing w:before="720" w:after="360"/>
      <w:ind w:left="3400" w:right="3400"/>
      <w:jc w:val="center"/>
    </w:pPr>
    <w:rPr>
      <w:b/>
      <w:bCs/>
    </w:rPr>
  </w:style>
  <w:style w:type="character" w:styleId="Utheving">
    <w:name w:val="Emphasis"/>
    <w:qFormat/>
    <w:rsid w:val="00006308"/>
    <w:rPr>
      <w:rFonts w:cs="Times New Roman"/>
      <w:i/>
      <w:iCs/>
    </w:rPr>
  </w:style>
  <w:style w:type="character" w:styleId="Sterk">
    <w:name w:val="Strong"/>
    <w:uiPriority w:val="99"/>
    <w:qFormat/>
    <w:rsid w:val="00006308"/>
    <w:rPr>
      <w:rFonts w:cs="Times New Roman"/>
      <w:b/>
      <w:bCs/>
    </w:rPr>
  </w:style>
  <w:style w:type="paragraph" w:styleId="Dokumentkart">
    <w:name w:val="Document Map"/>
    <w:basedOn w:val="Normal"/>
    <w:link w:val="DokumentkartTegn"/>
    <w:semiHidden/>
    <w:rsid w:val="00006308"/>
    <w:pPr>
      <w:widowControl w:val="0"/>
      <w:shd w:val="clear" w:color="auto" w:fill="000080"/>
      <w:spacing w:before="0" w:after="0"/>
    </w:pPr>
    <w:rPr>
      <w:rFonts w:ascii="Tahoma" w:hAnsi="Tahoma" w:cs="Tahoma"/>
      <w:lang w:eastAsia="fr-BE"/>
    </w:rPr>
  </w:style>
  <w:style w:type="character" w:customStyle="1" w:styleId="DokumentkartTegn">
    <w:name w:val="Dokumentkart Tegn"/>
    <w:basedOn w:val="Standardskriftforavsnitt"/>
    <w:link w:val="Dokumentkart"/>
    <w:semiHidden/>
    <w:rsid w:val="00006308"/>
    <w:rPr>
      <w:rFonts w:ascii="Tahoma" w:hAnsi="Tahoma" w:cs="Tahoma"/>
      <w:sz w:val="24"/>
      <w:szCs w:val="24"/>
      <w:shd w:val="clear" w:color="auto" w:fill="000080"/>
      <w:lang w:val="en-GB" w:eastAsia="fr-BE"/>
    </w:rPr>
  </w:style>
  <w:style w:type="paragraph" w:customStyle="1" w:styleId="CharChar2">
    <w:name w:val="Char Char2"/>
    <w:basedOn w:val="Normal"/>
    <w:rsid w:val="00006308"/>
    <w:pPr>
      <w:spacing w:before="0" w:after="160" w:line="240" w:lineRule="exact"/>
    </w:pPr>
    <w:rPr>
      <w:rFonts w:ascii="Tahoma" w:hAnsi="Tahoma" w:cs="Tahoma"/>
      <w:sz w:val="20"/>
      <w:szCs w:val="20"/>
      <w:lang w:val="en-US"/>
    </w:rPr>
  </w:style>
  <w:style w:type="paragraph" w:customStyle="1" w:styleId="NormalWeb1">
    <w:name w:val="Normal (Web)1"/>
    <w:basedOn w:val="Normal"/>
    <w:rsid w:val="00006308"/>
    <w:pPr>
      <w:spacing w:before="0" w:after="0" w:line="240" w:lineRule="auto"/>
    </w:pPr>
    <w:rPr>
      <w:lang w:val="fr-BE" w:eastAsia="fr-BE"/>
    </w:rPr>
  </w:style>
  <w:style w:type="paragraph" w:customStyle="1" w:styleId="ListBullet1">
    <w:name w:val="List Bullet 1"/>
    <w:basedOn w:val="Normal"/>
    <w:rsid w:val="00006308"/>
    <w:pPr>
      <w:numPr>
        <w:numId w:val="25"/>
      </w:numPr>
      <w:spacing w:before="0" w:after="0" w:line="240" w:lineRule="auto"/>
    </w:pPr>
  </w:style>
  <w:style w:type="paragraph" w:styleId="Brdtekstinnrykk3">
    <w:name w:val="Body Text Indent 3"/>
    <w:basedOn w:val="Normal"/>
    <w:link w:val="Brdtekstinnrykk3Tegn"/>
    <w:rsid w:val="00006308"/>
    <w:pPr>
      <w:spacing w:before="0" w:after="0" w:line="240" w:lineRule="auto"/>
      <w:ind w:left="708"/>
      <w:jc w:val="both"/>
    </w:pPr>
    <w:rPr>
      <w:rFonts w:ascii="Arial" w:hAnsi="Arial" w:cs="Arial"/>
      <w:noProof/>
      <w:sz w:val="22"/>
      <w:szCs w:val="22"/>
      <w:lang w:eastAsia="it-IT"/>
    </w:rPr>
  </w:style>
  <w:style w:type="character" w:customStyle="1" w:styleId="Brdtekstinnrykk3Tegn">
    <w:name w:val="Brødtekstinnrykk 3 Tegn"/>
    <w:basedOn w:val="Standardskriftforavsnitt"/>
    <w:link w:val="Brdtekstinnrykk3"/>
    <w:rsid w:val="00006308"/>
    <w:rPr>
      <w:rFonts w:ascii="Arial" w:hAnsi="Arial" w:cs="Arial"/>
      <w:noProof/>
      <w:sz w:val="22"/>
      <w:szCs w:val="22"/>
      <w:lang w:val="en-GB" w:eastAsia="it-IT"/>
    </w:rPr>
  </w:style>
  <w:style w:type="paragraph" w:customStyle="1" w:styleId="PargrafodaLista1">
    <w:name w:val="Parágrafo da Lista1"/>
    <w:basedOn w:val="Normal"/>
    <w:rsid w:val="00006308"/>
    <w:pPr>
      <w:spacing w:before="0" w:after="200" w:line="276" w:lineRule="auto"/>
      <w:ind w:left="708"/>
    </w:pPr>
    <w:rPr>
      <w:rFonts w:ascii="Calibri" w:hAnsi="Calibri" w:cs="Calibri"/>
      <w:sz w:val="22"/>
      <w:szCs w:val="22"/>
      <w:lang w:val="pt-BR"/>
    </w:rPr>
  </w:style>
  <w:style w:type="paragraph" w:styleId="Bobletekst">
    <w:name w:val="Balloon Text"/>
    <w:basedOn w:val="Normal"/>
    <w:link w:val="BobletekstTegn"/>
    <w:semiHidden/>
    <w:rsid w:val="00006308"/>
    <w:pPr>
      <w:spacing w:before="0"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006308"/>
    <w:rPr>
      <w:rFonts w:ascii="Tahoma" w:hAnsi="Tahoma" w:cs="Tahoma"/>
      <w:sz w:val="16"/>
      <w:szCs w:val="16"/>
      <w:lang w:val="en-GB" w:eastAsia="en-US"/>
    </w:rPr>
  </w:style>
  <w:style w:type="paragraph" w:styleId="Brdtekst">
    <w:name w:val="Body Text"/>
    <w:basedOn w:val="Normal"/>
    <w:link w:val="BrdtekstTegn"/>
    <w:rsid w:val="00006308"/>
    <w:pPr>
      <w:spacing w:before="0" w:after="0" w:line="240" w:lineRule="auto"/>
    </w:pPr>
    <w:rPr>
      <w:rFonts w:ascii="Arial" w:hAnsi="Arial" w:cs="Arial"/>
      <w:sz w:val="28"/>
      <w:szCs w:val="28"/>
      <w:lang w:eastAsia="fr-BE"/>
    </w:rPr>
  </w:style>
  <w:style w:type="character" w:customStyle="1" w:styleId="BrdtekstTegn">
    <w:name w:val="Brødtekst Tegn"/>
    <w:basedOn w:val="Standardskriftforavsnitt"/>
    <w:link w:val="Brdtekst"/>
    <w:rsid w:val="00006308"/>
    <w:rPr>
      <w:rFonts w:ascii="Arial" w:hAnsi="Arial" w:cs="Arial"/>
      <w:sz w:val="28"/>
      <w:szCs w:val="28"/>
      <w:lang w:val="en-GB" w:eastAsia="fr-BE"/>
    </w:rPr>
  </w:style>
  <w:style w:type="paragraph" w:customStyle="1" w:styleId="CharChar21">
    <w:name w:val="Char Char21"/>
    <w:basedOn w:val="Normal"/>
    <w:rsid w:val="00006308"/>
    <w:pPr>
      <w:spacing w:before="0" w:after="160" w:line="240" w:lineRule="exact"/>
    </w:pPr>
    <w:rPr>
      <w:rFonts w:ascii="Tahoma" w:hAnsi="Tahoma" w:cs="Tahoma"/>
      <w:sz w:val="20"/>
      <w:szCs w:val="20"/>
      <w:lang w:val="en-US"/>
    </w:rPr>
  </w:style>
  <w:style w:type="paragraph" w:customStyle="1" w:styleId="OmniPage519">
    <w:name w:val="OmniPage #519"/>
    <w:rsid w:val="00006308"/>
    <w:pPr>
      <w:tabs>
        <w:tab w:val="left" w:pos="100"/>
        <w:tab w:val="right" w:pos="9479"/>
      </w:tabs>
      <w:autoSpaceDE w:val="0"/>
      <w:autoSpaceDN w:val="0"/>
    </w:pPr>
    <w:rPr>
      <w:rFonts w:ascii="CG Times" w:hAnsi="CG Times" w:cs="CG Times"/>
      <w:sz w:val="23"/>
      <w:szCs w:val="23"/>
      <w:lang w:val="en-US" w:eastAsia="en-AU"/>
    </w:rPr>
  </w:style>
  <w:style w:type="paragraph" w:customStyle="1" w:styleId="ManualNumPar1">
    <w:name w:val="Manual NumPar 1"/>
    <w:basedOn w:val="Normal"/>
    <w:next w:val="Normal"/>
    <w:link w:val="ManualNumPar1Char"/>
    <w:rsid w:val="00006308"/>
    <w:pPr>
      <w:spacing w:line="240" w:lineRule="auto"/>
      <w:ind w:left="850" w:hanging="850"/>
      <w:jc w:val="both"/>
    </w:pPr>
    <w:rPr>
      <w:lang w:eastAsia="en-GB"/>
    </w:rPr>
  </w:style>
  <w:style w:type="character" w:customStyle="1" w:styleId="ManualNumPar1Char">
    <w:name w:val="Manual NumPar 1 Char"/>
    <w:link w:val="ManualNumPar1"/>
    <w:rsid w:val="00006308"/>
    <w:rPr>
      <w:sz w:val="24"/>
      <w:szCs w:val="24"/>
      <w:lang w:val="en-GB" w:eastAsia="en-GB"/>
    </w:rPr>
  </w:style>
  <w:style w:type="character" w:customStyle="1" w:styleId="pagetitle1">
    <w:name w:val="pagetitle1"/>
    <w:rsid w:val="00006308"/>
    <w:rPr>
      <w:rFonts w:cs="Times New Roman"/>
      <w:b/>
      <w:bCs/>
      <w:color w:val="0D0100"/>
      <w:w w:val="54"/>
      <w:sz w:val="2"/>
      <w:szCs w:val="2"/>
    </w:rPr>
  </w:style>
  <w:style w:type="paragraph" w:customStyle="1" w:styleId="CharChar">
    <w:name w:val="Char Char"/>
    <w:basedOn w:val="Normal"/>
    <w:rsid w:val="00006308"/>
    <w:pPr>
      <w:spacing w:before="0" w:after="0" w:line="240" w:lineRule="auto"/>
    </w:pPr>
    <w:rPr>
      <w:lang w:val="pl-PL" w:eastAsia="pl-PL"/>
    </w:rPr>
  </w:style>
  <w:style w:type="character" w:customStyle="1" w:styleId="characterstyle1">
    <w:name w:val="characterstyle1"/>
    <w:rsid w:val="00006308"/>
    <w:rPr>
      <w:rFonts w:cs="Times New Roman"/>
    </w:rPr>
  </w:style>
  <w:style w:type="paragraph" w:customStyle="1" w:styleId="style1">
    <w:name w:val="style1"/>
    <w:basedOn w:val="Normal"/>
    <w:rsid w:val="00006308"/>
    <w:pPr>
      <w:spacing w:before="100" w:beforeAutospacing="1" w:after="100" w:afterAutospacing="1" w:line="240" w:lineRule="auto"/>
    </w:pPr>
    <w:rPr>
      <w:color w:val="000000"/>
      <w:lang w:eastAsia="en-GB"/>
    </w:rPr>
  </w:style>
  <w:style w:type="paragraph" w:customStyle="1" w:styleId="Znak">
    <w:name w:val="Znak"/>
    <w:basedOn w:val="Normal"/>
    <w:rsid w:val="00006308"/>
    <w:pPr>
      <w:spacing w:before="0" w:after="0" w:line="240" w:lineRule="auto"/>
    </w:pPr>
    <w:rPr>
      <w:lang w:val="pl-PL" w:eastAsia="pl-PL"/>
    </w:rPr>
  </w:style>
  <w:style w:type="paragraph" w:customStyle="1" w:styleId="Car">
    <w:name w:val="Car"/>
    <w:basedOn w:val="Normal"/>
    <w:rsid w:val="00006308"/>
    <w:pPr>
      <w:spacing w:before="0" w:after="160" w:line="240" w:lineRule="exact"/>
    </w:pPr>
    <w:rPr>
      <w:rFonts w:ascii="Tahoma" w:hAnsi="Tahoma" w:cs="Tahoma"/>
      <w:sz w:val="20"/>
      <w:szCs w:val="20"/>
      <w:lang w:val="en-US"/>
    </w:rPr>
  </w:style>
  <w:style w:type="paragraph" w:styleId="Rentekst">
    <w:name w:val="Plain Text"/>
    <w:basedOn w:val="Normal"/>
    <w:link w:val="RentekstTegn"/>
    <w:rsid w:val="00006308"/>
    <w:pPr>
      <w:spacing w:before="0" w:after="0" w:line="240" w:lineRule="auto"/>
    </w:pPr>
    <w:rPr>
      <w:rFonts w:ascii="Arial" w:hAnsi="Arial" w:cs="Arial"/>
      <w:lang w:eastAsia="en-GB"/>
    </w:rPr>
  </w:style>
  <w:style w:type="character" w:customStyle="1" w:styleId="RentekstTegn">
    <w:name w:val="Ren tekst Tegn"/>
    <w:basedOn w:val="Standardskriftforavsnitt"/>
    <w:link w:val="Rentekst"/>
    <w:rsid w:val="00006308"/>
    <w:rPr>
      <w:rFonts w:ascii="Arial" w:hAnsi="Arial" w:cs="Arial"/>
      <w:sz w:val="24"/>
      <w:szCs w:val="24"/>
      <w:lang w:val="en-GB" w:eastAsia="en-GB"/>
    </w:rPr>
  </w:style>
  <w:style w:type="paragraph" w:customStyle="1" w:styleId="PargrafodaLista">
    <w:name w:val="Parágrafo da Lista"/>
    <w:basedOn w:val="Normal"/>
    <w:rsid w:val="00006308"/>
    <w:pPr>
      <w:spacing w:before="0" w:after="0" w:line="240" w:lineRule="auto"/>
      <w:ind w:left="708"/>
    </w:pPr>
    <w:rPr>
      <w:lang w:val="pt-BR" w:eastAsia="pt-BR"/>
    </w:rPr>
  </w:style>
  <w:style w:type="character" w:customStyle="1" w:styleId="Char7">
    <w:name w:val="Char7"/>
    <w:rsid w:val="00006308"/>
    <w:rPr>
      <w:rFonts w:ascii="Arial" w:hAnsi="Arial" w:cs="Arial"/>
      <w:b/>
      <w:bCs/>
      <w:sz w:val="24"/>
      <w:szCs w:val="24"/>
      <w:lang w:val="en-CA" w:eastAsia="en-CA"/>
    </w:rPr>
  </w:style>
  <w:style w:type="paragraph" w:styleId="Tittel">
    <w:name w:val="Title"/>
    <w:basedOn w:val="Normal"/>
    <w:link w:val="TittelTegn"/>
    <w:qFormat/>
    <w:rsid w:val="00006308"/>
    <w:pPr>
      <w:spacing w:before="0" w:after="0" w:line="240" w:lineRule="auto"/>
      <w:jc w:val="center"/>
    </w:pPr>
    <w:rPr>
      <w:b/>
      <w:bCs/>
      <w:u w:val="single"/>
    </w:rPr>
  </w:style>
  <w:style w:type="character" w:customStyle="1" w:styleId="TittelTegn">
    <w:name w:val="Tittel Tegn"/>
    <w:basedOn w:val="Standardskriftforavsnitt"/>
    <w:link w:val="Tittel"/>
    <w:rsid w:val="00006308"/>
    <w:rPr>
      <w:b/>
      <w:bCs/>
      <w:sz w:val="24"/>
      <w:szCs w:val="24"/>
      <w:u w:val="single"/>
      <w:lang w:val="en-GB" w:eastAsia="en-US"/>
    </w:rPr>
  </w:style>
  <w:style w:type="paragraph" w:customStyle="1" w:styleId="EntPE">
    <w:name w:val="EntPE"/>
    <w:basedOn w:val="Normal"/>
    <w:rsid w:val="00006308"/>
    <w:pPr>
      <w:widowControl w:val="0"/>
      <w:spacing w:before="0" w:after="240" w:line="240" w:lineRule="auto"/>
      <w:jc w:val="center"/>
    </w:pPr>
    <w:rPr>
      <w:sz w:val="56"/>
      <w:szCs w:val="56"/>
      <w:lang w:eastAsia="en-GB"/>
    </w:rPr>
  </w:style>
  <w:style w:type="paragraph" w:customStyle="1" w:styleId="Rfrenceinterinstitutionelle">
    <w:name w:val="Référence interinstitutionelle"/>
    <w:basedOn w:val="Normal"/>
    <w:next w:val="Statut"/>
    <w:rsid w:val="00006308"/>
    <w:pPr>
      <w:spacing w:before="0" w:after="0" w:line="240" w:lineRule="auto"/>
      <w:ind w:left="5103"/>
    </w:pPr>
    <w:rPr>
      <w:lang w:eastAsia="de-DE"/>
    </w:rPr>
  </w:style>
  <w:style w:type="paragraph" w:customStyle="1" w:styleId="Statut">
    <w:name w:val="Statut"/>
    <w:basedOn w:val="Normal"/>
    <w:next w:val="Typedudocument"/>
    <w:rsid w:val="00006308"/>
    <w:pPr>
      <w:spacing w:before="360" w:after="0" w:line="240" w:lineRule="auto"/>
      <w:jc w:val="center"/>
    </w:pPr>
    <w:rPr>
      <w:lang w:eastAsia="de-DE"/>
    </w:rPr>
  </w:style>
  <w:style w:type="paragraph" w:styleId="Punktmerketliste">
    <w:name w:val="List Bullet"/>
    <w:basedOn w:val="Normal"/>
    <w:rsid w:val="00006308"/>
    <w:pPr>
      <w:numPr>
        <w:numId w:val="32"/>
      </w:numPr>
      <w:spacing w:line="240" w:lineRule="auto"/>
      <w:jc w:val="both"/>
    </w:pPr>
    <w:rPr>
      <w:lang w:eastAsia="de-DE"/>
    </w:rPr>
  </w:style>
  <w:style w:type="paragraph" w:styleId="Punktmerketliste2">
    <w:name w:val="List Bullet 2"/>
    <w:basedOn w:val="Normal"/>
    <w:rsid w:val="00006308"/>
    <w:pPr>
      <w:numPr>
        <w:numId w:val="33"/>
      </w:numPr>
      <w:spacing w:line="240" w:lineRule="auto"/>
      <w:jc w:val="both"/>
    </w:pPr>
    <w:rPr>
      <w:lang w:eastAsia="de-DE"/>
    </w:rPr>
  </w:style>
  <w:style w:type="paragraph" w:styleId="Punktmerketliste3">
    <w:name w:val="List Bullet 3"/>
    <w:basedOn w:val="Normal"/>
    <w:rsid w:val="00006308"/>
    <w:pPr>
      <w:numPr>
        <w:numId w:val="34"/>
      </w:numPr>
      <w:spacing w:line="240" w:lineRule="auto"/>
      <w:jc w:val="both"/>
    </w:pPr>
    <w:rPr>
      <w:lang w:eastAsia="de-DE"/>
    </w:rPr>
  </w:style>
  <w:style w:type="paragraph" w:styleId="Punktmerketliste4">
    <w:name w:val="List Bullet 4"/>
    <w:basedOn w:val="Normal"/>
    <w:rsid w:val="00006308"/>
    <w:pPr>
      <w:numPr>
        <w:numId w:val="35"/>
      </w:numPr>
      <w:spacing w:line="240" w:lineRule="auto"/>
      <w:jc w:val="both"/>
    </w:pPr>
    <w:rPr>
      <w:lang w:eastAsia="de-DE"/>
    </w:rPr>
  </w:style>
  <w:style w:type="paragraph" w:styleId="Nummerertliste">
    <w:name w:val="List Number"/>
    <w:basedOn w:val="Normal"/>
    <w:rsid w:val="00006308"/>
    <w:pPr>
      <w:numPr>
        <w:numId w:val="41"/>
      </w:numPr>
      <w:spacing w:line="240" w:lineRule="auto"/>
      <w:jc w:val="both"/>
    </w:pPr>
    <w:rPr>
      <w:lang w:eastAsia="de-DE"/>
    </w:rPr>
  </w:style>
  <w:style w:type="paragraph" w:styleId="Nummerertliste2">
    <w:name w:val="List Number 2"/>
    <w:basedOn w:val="Normal"/>
    <w:rsid w:val="00006308"/>
    <w:pPr>
      <w:numPr>
        <w:numId w:val="43"/>
      </w:numPr>
      <w:spacing w:line="240" w:lineRule="auto"/>
      <w:jc w:val="both"/>
    </w:pPr>
    <w:rPr>
      <w:lang w:eastAsia="de-DE"/>
    </w:rPr>
  </w:style>
  <w:style w:type="paragraph" w:styleId="Nummerertliste3">
    <w:name w:val="List Number 3"/>
    <w:basedOn w:val="Normal"/>
    <w:rsid w:val="00006308"/>
    <w:pPr>
      <w:numPr>
        <w:numId w:val="44"/>
      </w:numPr>
      <w:spacing w:line="240" w:lineRule="auto"/>
      <w:jc w:val="both"/>
    </w:pPr>
    <w:rPr>
      <w:lang w:eastAsia="de-DE"/>
    </w:rPr>
  </w:style>
  <w:style w:type="paragraph" w:styleId="Nummerertliste4">
    <w:name w:val="List Number 4"/>
    <w:basedOn w:val="Normal"/>
    <w:rsid w:val="00006308"/>
    <w:pPr>
      <w:numPr>
        <w:numId w:val="45"/>
      </w:numPr>
      <w:spacing w:line="240" w:lineRule="auto"/>
      <w:jc w:val="both"/>
    </w:pPr>
    <w:rPr>
      <w:lang w:eastAsia="de-DE"/>
    </w:rPr>
  </w:style>
  <w:style w:type="paragraph" w:customStyle="1" w:styleId="NormalLeft">
    <w:name w:val="Normal Left"/>
    <w:basedOn w:val="Normal"/>
    <w:rsid w:val="00006308"/>
    <w:pPr>
      <w:spacing w:line="240" w:lineRule="auto"/>
    </w:pPr>
    <w:rPr>
      <w:lang w:eastAsia="de-DE"/>
    </w:rPr>
  </w:style>
  <w:style w:type="paragraph" w:customStyle="1" w:styleId="QuotedText">
    <w:name w:val="Quoted Text"/>
    <w:basedOn w:val="Normal"/>
    <w:rsid w:val="00006308"/>
    <w:pPr>
      <w:spacing w:line="240" w:lineRule="auto"/>
      <w:ind w:left="1417"/>
      <w:jc w:val="both"/>
    </w:pPr>
    <w:rPr>
      <w:lang w:eastAsia="de-DE"/>
    </w:rPr>
  </w:style>
  <w:style w:type="paragraph" w:customStyle="1" w:styleId="Point2">
    <w:name w:val="Point 2"/>
    <w:basedOn w:val="Normal"/>
    <w:rsid w:val="00006308"/>
    <w:pPr>
      <w:spacing w:line="240" w:lineRule="auto"/>
      <w:ind w:left="1984" w:hanging="567"/>
      <w:jc w:val="both"/>
    </w:pPr>
    <w:rPr>
      <w:lang w:eastAsia="de-DE"/>
    </w:rPr>
  </w:style>
  <w:style w:type="paragraph" w:customStyle="1" w:styleId="Point3">
    <w:name w:val="Point 3"/>
    <w:basedOn w:val="Normal"/>
    <w:rsid w:val="00006308"/>
    <w:pPr>
      <w:spacing w:line="240" w:lineRule="auto"/>
      <w:ind w:left="2551" w:hanging="567"/>
      <w:jc w:val="both"/>
    </w:pPr>
    <w:rPr>
      <w:lang w:eastAsia="de-DE"/>
    </w:rPr>
  </w:style>
  <w:style w:type="paragraph" w:customStyle="1" w:styleId="Point4">
    <w:name w:val="Point 4"/>
    <w:basedOn w:val="Normal"/>
    <w:rsid w:val="00006308"/>
    <w:pPr>
      <w:spacing w:line="240" w:lineRule="auto"/>
      <w:ind w:left="3118" w:hanging="567"/>
      <w:jc w:val="both"/>
    </w:pPr>
    <w:rPr>
      <w:lang w:eastAsia="de-DE"/>
    </w:rPr>
  </w:style>
  <w:style w:type="paragraph" w:customStyle="1" w:styleId="Tiret0">
    <w:name w:val="Tiret 0"/>
    <w:basedOn w:val="Point0"/>
    <w:rsid w:val="00006308"/>
    <w:pPr>
      <w:numPr>
        <w:numId w:val="26"/>
      </w:numPr>
      <w:tabs>
        <w:tab w:val="clear" w:pos="850"/>
      </w:tabs>
    </w:pPr>
  </w:style>
  <w:style w:type="paragraph" w:customStyle="1" w:styleId="Tiret1">
    <w:name w:val="Tiret 1"/>
    <w:basedOn w:val="Point1"/>
    <w:rsid w:val="00006308"/>
    <w:pPr>
      <w:numPr>
        <w:numId w:val="27"/>
      </w:numPr>
      <w:tabs>
        <w:tab w:val="clear" w:pos="1417"/>
      </w:tabs>
    </w:pPr>
  </w:style>
  <w:style w:type="paragraph" w:customStyle="1" w:styleId="Tiret2">
    <w:name w:val="Tiret 2"/>
    <w:basedOn w:val="Point2"/>
    <w:rsid w:val="00006308"/>
    <w:pPr>
      <w:numPr>
        <w:numId w:val="28"/>
      </w:numPr>
    </w:pPr>
  </w:style>
  <w:style w:type="paragraph" w:customStyle="1" w:styleId="Tiret3">
    <w:name w:val="Tiret 3"/>
    <w:basedOn w:val="Point3"/>
    <w:rsid w:val="00006308"/>
    <w:pPr>
      <w:numPr>
        <w:numId w:val="29"/>
      </w:numPr>
    </w:pPr>
  </w:style>
  <w:style w:type="paragraph" w:customStyle="1" w:styleId="Tiret4">
    <w:name w:val="Tiret 4"/>
    <w:basedOn w:val="Point4"/>
    <w:rsid w:val="00006308"/>
    <w:pPr>
      <w:numPr>
        <w:numId w:val="30"/>
      </w:numPr>
    </w:pPr>
  </w:style>
  <w:style w:type="paragraph" w:customStyle="1" w:styleId="PointDouble0">
    <w:name w:val="PointDouble 0"/>
    <w:basedOn w:val="Normal"/>
    <w:rsid w:val="00006308"/>
    <w:pPr>
      <w:tabs>
        <w:tab w:val="left" w:pos="850"/>
      </w:tabs>
      <w:spacing w:line="240" w:lineRule="auto"/>
      <w:ind w:left="1417" w:hanging="1417"/>
      <w:jc w:val="both"/>
    </w:pPr>
    <w:rPr>
      <w:lang w:eastAsia="de-DE"/>
    </w:rPr>
  </w:style>
  <w:style w:type="paragraph" w:customStyle="1" w:styleId="PointDouble1">
    <w:name w:val="PointDouble 1"/>
    <w:basedOn w:val="Normal"/>
    <w:rsid w:val="00006308"/>
    <w:pPr>
      <w:tabs>
        <w:tab w:val="left" w:pos="1417"/>
      </w:tabs>
      <w:spacing w:line="240" w:lineRule="auto"/>
      <w:ind w:left="1984" w:hanging="1134"/>
      <w:jc w:val="both"/>
    </w:pPr>
    <w:rPr>
      <w:lang w:eastAsia="de-DE"/>
    </w:rPr>
  </w:style>
  <w:style w:type="paragraph" w:customStyle="1" w:styleId="PointDouble2">
    <w:name w:val="PointDouble 2"/>
    <w:basedOn w:val="Normal"/>
    <w:rsid w:val="00006308"/>
    <w:pPr>
      <w:tabs>
        <w:tab w:val="left" w:pos="1984"/>
      </w:tabs>
      <w:spacing w:line="240" w:lineRule="auto"/>
      <w:ind w:left="2551" w:hanging="1134"/>
      <w:jc w:val="both"/>
    </w:pPr>
    <w:rPr>
      <w:lang w:eastAsia="de-DE"/>
    </w:rPr>
  </w:style>
  <w:style w:type="paragraph" w:customStyle="1" w:styleId="PointDouble3">
    <w:name w:val="PointDouble 3"/>
    <w:basedOn w:val="Normal"/>
    <w:rsid w:val="00006308"/>
    <w:pPr>
      <w:tabs>
        <w:tab w:val="left" w:pos="2551"/>
      </w:tabs>
      <w:spacing w:line="240" w:lineRule="auto"/>
      <w:ind w:left="3118" w:hanging="1134"/>
      <w:jc w:val="both"/>
    </w:pPr>
    <w:rPr>
      <w:lang w:eastAsia="de-DE"/>
    </w:rPr>
  </w:style>
  <w:style w:type="paragraph" w:customStyle="1" w:styleId="PointDouble4">
    <w:name w:val="PointDouble 4"/>
    <w:basedOn w:val="Normal"/>
    <w:rsid w:val="00006308"/>
    <w:pPr>
      <w:tabs>
        <w:tab w:val="left" w:pos="3118"/>
      </w:tabs>
      <w:spacing w:line="240" w:lineRule="auto"/>
      <w:ind w:left="3685" w:hanging="1134"/>
      <w:jc w:val="both"/>
    </w:pPr>
    <w:rPr>
      <w:lang w:eastAsia="de-DE"/>
    </w:rPr>
  </w:style>
  <w:style w:type="paragraph" w:customStyle="1" w:styleId="PointTriple0">
    <w:name w:val="PointTriple 0"/>
    <w:basedOn w:val="Normal"/>
    <w:rsid w:val="00006308"/>
    <w:pPr>
      <w:tabs>
        <w:tab w:val="left" w:pos="850"/>
        <w:tab w:val="left" w:pos="1417"/>
      </w:tabs>
      <w:spacing w:line="240" w:lineRule="auto"/>
      <w:ind w:left="1984" w:hanging="1984"/>
      <w:jc w:val="both"/>
    </w:pPr>
    <w:rPr>
      <w:lang w:eastAsia="de-DE"/>
    </w:rPr>
  </w:style>
  <w:style w:type="paragraph" w:customStyle="1" w:styleId="PointTriple1">
    <w:name w:val="PointTriple 1"/>
    <w:basedOn w:val="Normal"/>
    <w:rsid w:val="00006308"/>
    <w:pPr>
      <w:tabs>
        <w:tab w:val="left" w:pos="1417"/>
        <w:tab w:val="left" w:pos="1984"/>
      </w:tabs>
      <w:spacing w:line="240" w:lineRule="auto"/>
      <w:ind w:left="2551" w:hanging="1701"/>
      <w:jc w:val="both"/>
    </w:pPr>
    <w:rPr>
      <w:lang w:eastAsia="de-DE"/>
    </w:rPr>
  </w:style>
  <w:style w:type="paragraph" w:customStyle="1" w:styleId="PointTriple2">
    <w:name w:val="PointTriple 2"/>
    <w:basedOn w:val="Normal"/>
    <w:rsid w:val="00006308"/>
    <w:pPr>
      <w:tabs>
        <w:tab w:val="left" w:pos="1984"/>
        <w:tab w:val="left" w:pos="2551"/>
      </w:tabs>
      <w:spacing w:line="240" w:lineRule="auto"/>
      <w:ind w:left="3118" w:hanging="1701"/>
      <w:jc w:val="both"/>
    </w:pPr>
    <w:rPr>
      <w:lang w:eastAsia="de-DE"/>
    </w:rPr>
  </w:style>
  <w:style w:type="paragraph" w:customStyle="1" w:styleId="PointTriple3">
    <w:name w:val="PointTriple 3"/>
    <w:basedOn w:val="Normal"/>
    <w:rsid w:val="00006308"/>
    <w:pPr>
      <w:tabs>
        <w:tab w:val="left" w:pos="2551"/>
        <w:tab w:val="left" w:pos="3118"/>
      </w:tabs>
      <w:spacing w:line="240" w:lineRule="auto"/>
      <w:ind w:left="3685" w:hanging="1701"/>
      <w:jc w:val="both"/>
    </w:pPr>
    <w:rPr>
      <w:lang w:eastAsia="de-DE"/>
    </w:rPr>
  </w:style>
  <w:style w:type="paragraph" w:customStyle="1" w:styleId="PointTriple4">
    <w:name w:val="PointTriple 4"/>
    <w:basedOn w:val="Normal"/>
    <w:rsid w:val="00006308"/>
    <w:pPr>
      <w:tabs>
        <w:tab w:val="left" w:pos="3118"/>
        <w:tab w:val="left" w:pos="3685"/>
      </w:tabs>
      <w:spacing w:line="240" w:lineRule="auto"/>
      <w:ind w:left="4252" w:hanging="1701"/>
      <w:jc w:val="both"/>
    </w:pPr>
    <w:rPr>
      <w:lang w:eastAsia="de-DE"/>
    </w:rPr>
  </w:style>
  <w:style w:type="paragraph" w:customStyle="1" w:styleId="NumPar1">
    <w:name w:val="NumPar 1"/>
    <w:basedOn w:val="Normal"/>
    <w:next w:val="Text1"/>
    <w:rsid w:val="00006308"/>
    <w:pPr>
      <w:numPr>
        <w:numId w:val="31"/>
      </w:numPr>
      <w:spacing w:line="240" w:lineRule="auto"/>
      <w:jc w:val="both"/>
    </w:pPr>
    <w:rPr>
      <w:lang w:eastAsia="de-DE"/>
    </w:rPr>
  </w:style>
  <w:style w:type="paragraph" w:customStyle="1" w:styleId="NumPar2">
    <w:name w:val="NumPar 2"/>
    <w:basedOn w:val="Normal"/>
    <w:next w:val="Text2"/>
    <w:rsid w:val="00006308"/>
    <w:pPr>
      <w:numPr>
        <w:ilvl w:val="1"/>
        <w:numId w:val="31"/>
      </w:numPr>
      <w:spacing w:line="240" w:lineRule="auto"/>
      <w:jc w:val="both"/>
    </w:pPr>
    <w:rPr>
      <w:lang w:eastAsia="de-DE"/>
    </w:rPr>
  </w:style>
  <w:style w:type="paragraph" w:customStyle="1" w:styleId="NumPar3">
    <w:name w:val="NumPar 3"/>
    <w:basedOn w:val="Normal"/>
    <w:next w:val="Text3"/>
    <w:rsid w:val="00006308"/>
    <w:pPr>
      <w:numPr>
        <w:ilvl w:val="2"/>
        <w:numId w:val="31"/>
      </w:numPr>
      <w:spacing w:line="240" w:lineRule="auto"/>
      <w:jc w:val="both"/>
    </w:pPr>
    <w:rPr>
      <w:lang w:eastAsia="de-DE"/>
    </w:rPr>
  </w:style>
  <w:style w:type="paragraph" w:customStyle="1" w:styleId="NumPar4">
    <w:name w:val="NumPar 4"/>
    <w:basedOn w:val="Normal"/>
    <w:next w:val="Text4"/>
    <w:rsid w:val="00006308"/>
    <w:pPr>
      <w:numPr>
        <w:ilvl w:val="3"/>
        <w:numId w:val="31"/>
      </w:numPr>
      <w:spacing w:line="240" w:lineRule="auto"/>
      <w:jc w:val="both"/>
    </w:pPr>
    <w:rPr>
      <w:lang w:eastAsia="de-DE"/>
    </w:rPr>
  </w:style>
  <w:style w:type="paragraph" w:customStyle="1" w:styleId="ManualNumPar2">
    <w:name w:val="Manual NumPar 2"/>
    <w:basedOn w:val="Normal"/>
    <w:next w:val="Text2"/>
    <w:rsid w:val="00006308"/>
    <w:pPr>
      <w:spacing w:line="240" w:lineRule="auto"/>
      <w:ind w:left="850" w:hanging="850"/>
      <w:jc w:val="both"/>
    </w:pPr>
    <w:rPr>
      <w:lang w:eastAsia="de-DE"/>
    </w:rPr>
  </w:style>
  <w:style w:type="paragraph" w:customStyle="1" w:styleId="ManualNumPar3">
    <w:name w:val="Manual NumPar 3"/>
    <w:basedOn w:val="Normal"/>
    <w:next w:val="Text3"/>
    <w:rsid w:val="00006308"/>
    <w:pPr>
      <w:spacing w:line="240" w:lineRule="auto"/>
      <w:ind w:left="850" w:hanging="850"/>
      <w:jc w:val="both"/>
    </w:pPr>
    <w:rPr>
      <w:lang w:eastAsia="de-DE"/>
    </w:rPr>
  </w:style>
  <w:style w:type="paragraph" w:customStyle="1" w:styleId="ManualNumPar4">
    <w:name w:val="Manual NumPar 4"/>
    <w:basedOn w:val="Normal"/>
    <w:next w:val="Text4"/>
    <w:rsid w:val="00006308"/>
    <w:pPr>
      <w:spacing w:line="240" w:lineRule="auto"/>
      <w:ind w:left="850" w:hanging="850"/>
      <w:jc w:val="both"/>
    </w:pPr>
    <w:rPr>
      <w:lang w:eastAsia="de-DE"/>
    </w:rPr>
  </w:style>
  <w:style w:type="paragraph" w:customStyle="1" w:styleId="QuotedNumPar">
    <w:name w:val="Quoted NumPar"/>
    <w:basedOn w:val="Normal"/>
    <w:rsid w:val="00006308"/>
    <w:pPr>
      <w:spacing w:line="240" w:lineRule="auto"/>
      <w:ind w:left="1417" w:hanging="567"/>
      <w:jc w:val="both"/>
    </w:pPr>
    <w:rPr>
      <w:lang w:eastAsia="de-DE"/>
    </w:rPr>
  </w:style>
  <w:style w:type="paragraph" w:customStyle="1" w:styleId="ManualHeading1">
    <w:name w:val="Manual Heading 1"/>
    <w:basedOn w:val="Normal"/>
    <w:next w:val="Text1"/>
    <w:rsid w:val="00006308"/>
    <w:pPr>
      <w:keepNext/>
      <w:tabs>
        <w:tab w:val="left" w:pos="850"/>
      </w:tabs>
      <w:spacing w:before="360" w:line="240" w:lineRule="auto"/>
      <w:ind w:left="850" w:hanging="850"/>
      <w:jc w:val="both"/>
      <w:outlineLvl w:val="0"/>
    </w:pPr>
    <w:rPr>
      <w:b/>
      <w:bCs/>
      <w:smallCaps/>
      <w:lang w:eastAsia="de-DE"/>
    </w:rPr>
  </w:style>
  <w:style w:type="paragraph" w:customStyle="1" w:styleId="ManualHeading2">
    <w:name w:val="Manual Heading 2"/>
    <w:basedOn w:val="Normal"/>
    <w:next w:val="Text2"/>
    <w:rsid w:val="00006308"/>
    <w:pPr>
      <w:keepNext/>
      <w:tabs>
        <w:tab w:val="left" w:pos="850"/>
      </w:tabs>
      <w:spacing w:line="240" w:lineRule="auto"/>
      <w:ind w:left="850" w:hanging="850"/>
      <w:jc w:val="both"/>
      <w:outlineLvl w:val="1"/>
    </w:pPr>
    <w:rPr>
      <w:b/>
      <w:bCs/>
      <w:lang w:eastAsia="de-DE"/>
    </w:rPr>
  </w:style>
  <w:style w:type="paragraph" w:customStyle="1" w:styleId="ManualHeading3">
    <w:name w:val="Manual Heading 3"/>
    <w:basedOn w:val="Normal"/>
    <w:next w:val="Text3"/>
    <w:rsid w:val="00006308"/>
    <w:pPr>
      <w:keepNext/>
      <w:tabs>
        <w:tab w:val="left" w:pos="850"/>
      </w:tabs>
      <w:spacing w:line="240" w:lineRule="auto"/>
      <w:ind w:left="850" w:hanging="850"/>
      <w:jc w:val="both"/>
      <w:outlineLvl w:val="2"/>
    </w:pPr>
    <w:rPr>
      <w:i/>
      <w:iCs/>
      <w:lang w:eastAsia="de-DE"/>
    </w:rPr>
  </w:style>
  <w:style w:type="paragraph" w:customStyle="1" w:styleId="ManualHeading4">
    <w:name w:val="Manual Heading 4"/>
    <w:basedOn w:val="Normal"/>
    <w:next w:val="Text4"/>
    <w:rsid w:val="00006308"/>
    <w:pPr>
      <w:keepNext/>
      <w:tabs>
        <w:tab w:val="left" w:pos="850"/>
      </w:tabs>
      <w:spacing w:line="240" w:lineRule="auto"/>
      <w:ind w:left="850" w:hanging="850"/>
      <w:jc w:val="both"/>
      <w:outlineLvl w:val="3"/>
    </w:pPr>
    <w:rPr>
      <w:lang w:eastAsia="de-DE"/>
    </w:rPr>
  </w:style>
  <w:style w:type="paragraph" w:customStyle="1" w:styleId="PartTitle">
    <w:name w:val="PartTitle"/>
    <w:basedOn w:val="Normal"/>
    <w:next w:val="ChapterTitle"/>
    <w:rsid w:val="00006308"/>
    <w:pPr>
      <w:keepNext/>
      <w:pageBreakBefore/>
      <w:spacing w:after="360" w:line="240" w:lineRule="auto"/>
      <w:jc w:val="center"/>
    </w:pPr>
    <w:rPr>
      <w:b/>
      <w:bCs/>
      <w:sz w:val="36"/>
      <w:szCs w:val="36"/>
      <w:lang w:eastAsia="de-DE"/>
    </w:rPr>
  </w:style>
  <w:style w:type="paragraph" w:customStyle="1" w:styleId="SectionTitle">
    <w:name w:val="SectionTitle"/>
    <w:basedOn w:val="Normal"/>
    <w:next w:val="Overskrift1"/>
    <w:rsid w:val="00006308"/>
    <w:pPr>
      <w:keepNext/>
      <w:spacing w:after="360" w:line="240" w:lineRule="auto"/>
      <w:jc w:val="center"/>
    </w:pPr>
    <w:rPr>
      <w:b/>
      <w:bCs/>
      <w:smallCaps/>
      <w:sz w:val="28"/>
      <w:szCs w:val="28"/>
      <w:lang w:eastAsia="de-DE"/>
    </w:rPr>
  </w:style>
  <w:style w:type="paragraph" w:customStyle="1" w:styleId="ListDash">
    <w:name w:val="List Dash"/>
    <w:basedOn w:val="Normal"/>
    <w:rsid w:val="00006308"/>
    <w:pPr>
      <w:numPr>
        <w:numId w:val="36"/>
      </w:numPr>
      <w:spacing w:line="240" w:lineRule="auto"/>
      <w:jc w:val="both"/>
    </w:pPr>
    <w:rPr>
      <w:lang w:eastAsia="de-DE"/>
    </w:rPr>
  </w:style>
  <w:style w:type="paragraph" w:customStyle="1" w:styleId="ListDash1">
    <w:name w:val="List Dash 1"/>
    <w:basedOn w:val="Normal"/>
    <w:rsid w:val="00006308"/>
    <w:pPr>
      <w:numPr>
        <w:numId w:val="37"/>
      </w:numPr>
      <w:spacing w:line="240" w:lineRule="auto"/>
      <w:jc w:val="both"/>
    </w:pPr>
    <w:rPr>
      <w:lang w:eastAsia="de-DE"/>
    </w:rPr>
  </w:style>
  <w:style w:type="paragraph" w:customStyle="1" w:styleId="ListDash2">
    <w:name w:val="List Dash 2"/>
    <w:basedOn w:val="Normal"/>
    <w:rsid w:val="00006308"/>
    <w:pPr>
      <w:numPr>
        <w:numId w:val="38"/>
      </w:numPr>
      <w:spacing w:line="240" w:lineRule="auto"/>
      <w:jc w:val="both"/>
    </w:pPr>
    <w:rPr>
      <w:lang w:eastAsia="de-DE"/>
    </w:rPr>
  </w:style>
  <w:style w:type="paragraph" w:customStyle="1" w:styleId="ListDash3">
    <w:name w:val="List Dash 3"/>
    <w:basedOn w:val="Normal"/>
    <w:rsid w:val="00006308"/>
    <w:pPr>
      <w:numPr>
        <w:numId w:val="39"/>
      </w:numPr>
      <w:spacing w:line="240" w:lineRule="auto"/>
      <w:jc w:val="both"/>
    </w:pPr>
    <w:rPr>
      <w:lang w:eastAsia="de-DE"/>
    </w:rPr>
  </w:style>
  <w:style w:type="paragraph" w:customStyle="1" w:styleId="ListDash4">
    <w:name w:val="List Dash 4"/>
    <w:basedOn w:val="Normal"/>
    <w:rsid w:val="00006308"/>
    <w:pPr>
      <w:numPr>
        <w:numId w:val="40"/>
      </w:numPr>
      <w:spacing w:line="240" w:lineRule="auto"/>
      <w:jc w:val="both"/>
    </w:pPr>
    <w:rPr>
      <w:lang w:eastAsia="de-DE"/>
    </w:rPr>
  </w:style>
  <w:style w:type="paragraph" w:customStyle="1" w:styleId="ListNumber1">
    <w:name w:val="List Number 1"/>
    <w:basedOn w:val="Text1"/>
    <w:rsid w:val="00006308"/>
    <w:pPr>
      <w:numPr>
        <w:numId w:val="42"/>
      </w:numPr>
      <w:spacing w:line="240" w:lineRule="auto"/>
      <w:jc w:val="both"/>
      <w:outlineLvl w:val="9"/>
    </w:pPr>
    <w:rPr>
      <w:lang w:eastAsia="de-DE"/>
    </w:rPr>
  </w:style>
  <w:style w:type="paragraph" w:customStyle="1" w:styleId="ListNumberLevel2">
    <w:name w:val="List Number (Level 2)"/>
    <w:basedOn w:val="Normal"/>
    <w:rsid w:val="00006308"/>
    <w:pPr>
      <w:numPr>
        <w:ilvl w:val="1"/>
        <w:numId w:val="41"/>
      </w:numPr>
      <w:spacing w:line="240" w:lineRule="auto"/>
      <w:jc w:val="both"/>
    </w:pPr>
    <w:rPr>
      <w:lang w:eastAsia="de-DE"/>
    </w:rPr>
  </w:style>
  <w:style w:type="paragraph" w:customStyle="1" w:styleId="ListNumber1Level2">
    <w:name w:val="List Number 1 (Level 2)"/>
    <w:basedOn w:val="Text1"/>
    <w:rsid w:val="00006308"/>
    <w:pPr>
      <w:numPr>
        <w:ilvl w:val="1"/>
        <w:numId w:val="42"/>
      </w:numPr>
      <w:spacing w:line="240" w:lineRule="auto"/>
      <w:jc w:val="both"/>
      <w:outlineLvl w:val="9"/>
    </w:pPr>
    <w:rPr>
      <w:lang w:eastAsia="de-DE"/>
    </w:rPr>
  </w:style>
  <w:style w:type="paragraph" w:customStyle="1" w:styleId="ListNumber2Level2">
    <w:name w:val="List Number 2 (Level 2)"/>
    <w:basedOn w:val="Text2"/>
    <w:rsid w:val="00006308"/>
    <w:pPr>
      <w:numPr>
        <w:ilvl w:val="1"/>
        <w:numId w:val="43"/>
      </w:numPr>
      <w:tabs>
        <w:tab w:val="clear" w:pos="2268"/>
      </w:tabs>
      <w:ind w:left="1134" w:firstLine="0"/>
    </w:pPr>
  </w:style>
  <w:style w:type="paragraph" w:customStyle="1" w:styleId="ListNumber3Level2">
    <w:name w:val="List Number 3 (Level 2)"/>
    <w:basedOn w:val="Text3"/>
    <w:rsid w:val="00006308"/>
    <w:pPr>
      <w:numPr>
        <w:ilvl w:val="1"/>
        <w:numId w:val="44"/>
      </w:numPr>
      <w:spacing w:line="240" w:lineRule="auto"/>
      <w:jc w:val="both"/>
      <w:outlineLvl w:val="9"/>
    </w:pPr>
    <w:rPr>
      <w:lang w:eastAsia="de-DE"/>
    </w:rPr>
  </w:style>
  <w:style w:type="paragraph" w:customStyle="1" w:styleId="ListNumber4Level2">
    <w:name w:val="List Number 4 (Level 2)"/>
    <w:basedOn w:val="Text4"/>
    <w:rsid w:val="00006308"/>
    <w:pPr>
      <w:numPr>
        <w:ilvl w:val="1"/>
        <w:numId w:val="45"/>
      </w:numPr>
      <w:spacing w:line="240" w:lineRule="auto"/>
      <w:jc w:val="both"/>
      <w:outlineLvl w:val="9"/>
    </w:pPr>
    <w:rPr>
      <w:lang w:eastAsia="de-DE"/>
    </w:rPr>
  </w:style>
  <w:style w:type="paragraph" w:customStyle="1" w:styleId="ListNumberLevel3">
    <w:name w:val="List Number (Level 3)"/>
    <w:basedOn w:val="Normal"/>
    <w:rsid w:val="00006308"/>
    <w:pPr>
      <w:numPr>
        <w:ilvl w:val="2"/>
        <w:numId w:val="41"/>
      </w:numPr>
      <w:spacing w:line="240" w:lineRule="auto"/>
      <w:jc w:val="both"/>
    </w:pPr>
    <w:rPr>
      <w:lang w:eastAsia="de-DE"/>
    </w:rPr>
  </w:style>
  <w:style w:type="paragraph" w:customStyle="1" w:styleId="ListNumber1Level3">
    <w:name w:val="List Number 1 (Level 3)"/>
    <w:basedOn w:val="Text1"/>
    <w:rsid w:val="00006308"/>
    <w:pPr>
      <w:numPr>
        <w:ilvl w:val="2"/>
        <w:numId w:val="42"/>
      </w:numPr>
      <w:spacing w:line="240" w:lineRule="auto"/>
      <w:jc w:val="both"/>
      <w:outlineLvl w:val="9"/>
    </w:pPr>
    <w:rPr>
      <w:lang w:eastAsia="de-DE"/>
    </w:rPr>
  </w:style>
  <w:style w:type="paragraph" w:customStyle="1" w:styleId="ListNumber2Level3">
    <w:name w:val="List Number 2 (Level 3)"/>
    <w:basedOn w:val="Text2"/>
    <w:rsid w:val="00006308"/>
    <w:pPr>
      <w:numPr>
        <w:ilvl w:val="2"/>
        <w:numId w:val="43"/>
      </w:numPr>
      <w:tabs>
        <w:tab w:val="clear" w:pos="2977"/>
      </w:tabs>
      <w:ind w:left="1134" w:firstLine="0"/>
    </w:pPr>
  </w:style>
  <w:style w:type="paragraph" w:customStyle="1" w:styleId="ListNumber3Level3">
    <w:name w:val="List Number 3 (Level 3)"/>
    <w:basedOn w:val="Text3"/>
    <w:rsid w:val="00006308"/>
    <w:pPr>
      <w:numPr>
        <w:ilvl w:val="2"/>
        <w:numId w:val="44"/>
      </w:numPr>
      <w:spacing w:line="240" w:lineRule="auto"/>
      <w:jc w:val="both"/>
      <w:outlineLvl w:val="9"/>
    </w:pPr>
    <w:rPr>
      <w:lang w:eastAsia="de-DE"/>
    </w:rPr>
  </w:style>
  <w:style w:type="paragraph" w:customStyle="1" w:styleId="ListNumber4Level3">
    <w:name w:val="List Number 4 (Level 3)"/>
    <w:basedOn w:val="Text4"/>
    <w:rsid w:val="00006308"/>
    <w:pPr>
      <w:numPr>
        <w:ilvl w:val="2"/>
        <w:numId w:val="45"/>
      </w:numPr>
      <w:spacing w:line="240" w:lineRule="auto"/>
      <w:jc w:val="both"/>
      <w:outlineLvl w:val="9"/>
    </w:pPr>
    <w:rPr>
      <w:lang w:eastAsia="de-DE"/>
    </w:rPr>
  </w:style>
  <w:style w:type="paragraph" w:customStyle="1" w:styleId="ListNumberLevel4">
    <w:name w:val="List Number (Level 4)"/>
    <w:basedOn w:val="Normal"/>
    <w:rsid w:val="00006308"/>
    <w:pPr>
      <w:numPr>
        <w:ilvl w:val="3"/>
        <w:numId w:val="41"/>
      </w:numPr>
      <w:spacing w:line="240" w:lineRule="auto"/>
      <w:jc w:val="both"/>
    </w:pPr>
    <w:rPr>
      <w:lang w:eastAsia="de-DE"/>
    </w:rPr>
  </w:style>
  <w:style w:type="paragraph" w:customStyle="1" w:styleId="ListNumber1Level4">
    <w:name w:val="List Number 1 (Level 4)"/>
    <w:basedOn w:val="Text1"/>
    <w:rsid w:val="00006308"/>
    <w:pPr>
      <w:numPr>
        <w:ilvl w:val="3"/>
        <w:numId w:val="42"/>
      </w:numPr>
      <w:spacing w:line="240" w:lineRule="auto"/>
      <w:jc w:val="both"/>
      <w:outlineLvl w:val="9"/>
    </w:pPr>
    <w:rPr>
      <w:lang w:eastAsia="de-DE"/>
    </w:rPr>
  </w:style>
  <w:style w:type="paragraph" w:customStyle="1" w:styleId="ListNumber2Level4">
    <w:name w:val="List Number 2 (Level 4)"/>
    <w:basedOn w:val="Text2"/>
    <w:rsid w:val="00006308"/>
    <w:pPr>
      <w:numPr>
        <w:ilvl w:val="3"/>
        <w:numId w:val="43"/>
      </w:numPr>
      <w:tabs>
        <w:tab w:val="clear" w:pos="3686"/>
      </w:tabs>
      <w:ind w:left="1134" w:firstLine="0"/>
    </w:pPr>
  </w:style>
  <w:style w:type="paragraph" w:customStyle="1" w:styleId="ListNumber3Level4">
    <w:name w:val="List Number 3 (Level 4)"/>
    <w:basedOn w:val="Text3"/>
    <w:rsid w:val="00006308"/>
    <w:pPr>
      <w:numPr>
        <w:ilvl w:val="3"/>
        <w:numId w:val="44"/>
      </w:numPr>
      <w:spacing w:line="240" w:lineRule="auto"/>
      <w:jc w:val="both"/>
      <w:outlineLvl w:val="9"/>
    </w:pPr>
    <w:rPr>
      <w:lang w:eastAsia="de-DE"/>
    </w:rPr>
  </w:style>
  <w:style w:type="paragraph" w:customStyle="1" w:styleId="ListNumber4Level4">
    <w:name w:val="List Number 4 (Level 4)"/>
    <w:basedOn w:val="Text4"/>
    <w:rsid w:val="00006308"/>
    <w:pPr>
      <w:numPr>
        <w:ilvl w:val="3"/>
        <w:numId w:val="45"/>
      </w:numPr>
      <w:spacing w:line="240" w:lineRule="auto"/>
      <w:jc w:val="both"/>
      <w:outlineLvl w:val="9"/>
    </w:pPr>
    <w:rPr>
      <w:lang w:eastAsia="de-DE"/>
    </w:rPr>
  </w:style>
  <w:style w:type="paragraph" w:customStyle="1" w:styleId="TableTitle">
    <w:name w:val="Table Title"/>
    <w:basedOn w:val="Normal"/>
    <w:next w:val="Normal"/>
    <w:rsid w:val="00006308"/>
    <w:pPr>
      <w:spacing w:line="240" w:lineRule="auto"/>
      <w:jc w:val="center"/>
    </w:pPr>
    <w:rPr>
      <w:b/>
      <w:bCs/>
      <w:lang w:eastAsia="de-DE"/>
    </w:rPr>
  </w:style>
  <w:style w:type="character" w:customStyle="1" w:styleId="Marker2">
    <w:name w:val="Marker2"/>
    <w:rsid w:val="00006308"/>
    <w:rPr>
      <w:rFonts w:cs="Times New Roman"/>
      <w:color w:val="FF0000"/>
    </w:rPr>
  </w:style>
  <w:style w:type="paragraph" w:styleId="Overskriftforinnholdsfortegnelse">
    <w:name w:val="TOC Heading"/>
    <w:basedOn w:val="Normal"/>
    <w:next w:val="Normal"/>
    <w:qFormat/>
    <w:rsid w:val="00006308"/>
    <w:pPr>
      <w:spacing w:after="240" w:line="240" w:lineRule="auto"/>
      <w:jc w:val="center"/>
    </w:pPr>
    <w:rPr>
      <w:b/>
      <w:bCs/>
      <w:sz w:val="28"/>
      <w:szCs w:val="28"/>
      <w:lang w:eastAsia="de-DE"/>
    </w:rPr>
  </w:style>
  <w:style w:type="paragraph" w:customStyle="1" w:styleId="Annexetitreexposglobal">
    <w:name w:val="Annexe titre (exposé global)"/>
    <w:basedOn w:val="Normal"/>
    <w:next w:val="Normal"/>
    <w:rsid w:val="00006308"/>
    <w:pPr>
      <w:spacing w:line="240" w:lineRule="auto"/>
      <w:jc w:val="center"/>
    </w:pPr>
    <w:rPr>
      <w:b/>
      <w:bCs/>
      <w:u w:val="single"/>
      <w:lang w:eastAsia="de-DE"/>
    </w:rPr>
  </w:style>
  <w:style w:type="paragraph" w:customStyle="1" w:styleId="Annexetitreexpos">
    <w:name w:val="Annexe titre (exposé)"/>
    <w:basedOn w:val="Normal"/>
    <w:next w:val="Normal"/>
    <w:rsid w:val="00006308"/>
    <w:pPr>
      <w:spacing w:line="240" w:lineRule="auto"/>
      <w:jc w:val="center"/>
    </w:pPr>
    <w:rPr>
      <w:b/>
      <w:bCs/>
      <w:u w:val="single"/>
      <w:lang w:eastAsia="de-DE"/>
    </w:rPr>
  </w:style>
  <w:style w:type="paragraph" w:customStyle="1" w:styleId="Annexetitrefichefinacte">
    <w:name w:val="Annexe titre (fiche fin. acte)"/>
    <w:basedOn w:val="Normal"/>
    <w:next w:val="Normal"/>
    <w:rsid w:val="00006308"/>
    <w:pPr>
      <w:spacing w:line="240" w:lineRule="auto"/>
      <w:jc w:val="center"/>
    </w:pPr>
    <w:rPr>
      <w:b/>
      <w:bCs/>
      <w:u w:val="single"/>
      <w:lang w:eastAsia="de-DE"/>
    </w:rPr>
  </w:style>
  <w:style w:type="paragraph" w:customStyle="1" w:styleId="Annexetitrefichefinglobale">
    <w:name w:val="Annexe titre (fiche fin. globale)"/>
    <w:basedOn w:val="Normal"/>
    <w:next w:val="Normal"/>
    <w:rsid w:val="00006308"/>
    <w:pPr>
      <w:spacing w:line="240" w:lineRule="auto"/>
      <w:jc w:val="center"/>
    </w:pPr>
    <w:rPr>
      <w:b/>
      <w:bCs/>
      <w:u w:val="single"/>
      <w:lang w:eastAsia="de-DE"/>
    </w:rPr>
  </w:style>
  <w:style w:type="paragraph" w:customStyle="1" w:styleId="Annexetitreglobale">
    <w:name w:val="Annexe titre (globale)"/>
    <w:basedOn w:val="Normal"/>
    <w:next w:val="Normal"/>
    <w:rsid w:val="00006308"/>
    <w:pPr>
      <w:spacing w:line="240" w:lineRule="auto"/>
      <w:jc w:val="center"/>
    </w:pPr>
    <w:rPr>
      <w:b/>
      <w:bCs/>
      <w:u w:val="single"/>
      <w:lang w:eastAsia="de-DE"/>
    </w:rPr>
  </w:style>
  <w:style w:type="paragraph" w:customStyle="1" w:styleId="Avertissementtitre">
    <w:name w:val="Avertissement titre"/>
    <w:basedOn w:val="Normal"/>
    <w:next w:val="Normal"/>
    <w:rsid w:val="00006308"/>
    <w:pPr>
      <w:keepNext/>
      <w:spacing w:before="480" w:line="240" w:lineRule="auto"/>
      <w:jc w:val="both"/>
    </w:pPr>
    <w:rPr>
      <w:u w:val="single"/>
      <w:lang w:eastAsia="de-DE"/>
    </w:rPr>
  </w:style>
  <w:style w:type="paragraph" w:customStyle="1" w:styleId="Confidence">
    <w:name w:val="Confidence"/>
    <w:basedOn w:val="Normal"/>
    <w:next w:val="Normal"/>
    <w:rsid w:val="00006308"/>
    <w:pPr>
      <w:spacing w:before="360" w:line="240" w:lineRule="auto"/>
      <w:jc w:val="center"/>
    </w:pPr>
    <w:rPr>
      <w:lang w:eastAsia="de-DE"/>
    </w:rPr>
  </w:style>
  <w:style w:type="paragraph" w:customStyle="1" w:styleId="Confidentialit">
    <w:name w:val="Confidentialité"/>
    <w:basedOn w:val="Normal"/>
    <w:next w:val="Statut"/>
    <w:rsid w:val="00006308"/>
    <w:pPr>
      <w:spacing w:before="240" w:after="240" w:line="240" w:lineRule="auto"/>
      <w:ind w:left="5103"/>
      <w:jc w:val="both"/>
    </w:pPr>
    <w:rPr>
      <w:u w:val="single"/>
      <w:lang w:eastAsia="de-DE"/>
    </w:rPr>
  </w:style>
  <w:style w:type="paragraph" w:customStyle="1" w:styleId="Considrant">
    <w:name w:val="Considérant"/>
    <w:basedOn w:val="Normal"/>
    <w:rsid w:val="00006308"/>
    <w:pPr>
      <w:numPr>
        <w:numId w:val="46"/>
      </w:numPr>
      <w:spacing w:line="240" w:lineRule="auto"/>
      <w:jc w:val="both"/>
    </w:pPr>
    <w:rPr>
      <w:lang w:eastAsia="de-DE"/>
    </w:rPr>
  </w:style>
  <w:style w:type="paragraph" w:customStyle="1" w:styleId="Corrigendum">
    <w:name w:val="Corrigendum"/>
    <w:basedOn w:val="Normal"/>
    <w:next w:val="Normal"/>
    <w:rsid w:val="00006308"/>
    <w:pPr>
      <w:spacing w:before="0" w:after="240" w:line="240" w:lineRule="auto"/>
    </w:pPr>
    <w:rPr>
      <w:lang w:eastAsia="de-DE"/>
    </w:rPr>
  </w:style>
  <w:style w:type="paragraph" w:customStyle="1" w:styleId="Emission">
    <w:name w:val="Emission"/>
    <w:basedOn w:val="Normal"/>
    <w:next w:val="Rfrenceinstitutionelle"/>
    <w:rsid w:val="00006308"/>
    <w:pPr>
      <w:spacing w:before="0" w:after="0" w:line="240" w:lineRule="auto"/>
      <w:ind w:left="5103"/>
    </w:pPr>
    <w:rPr>
      <w:lang w:eastAsia="de-DE"/>
    </w:rPr>
  </w:style>
  <w:style w:type="paragraph" w:customStyle="1" w:styleId="Exposdesmotifstitre">
    <w:name w:val="Exposé des motifs titre"/>
    <w:basedOn w:val="Normal"/>
    <w:next w:val="Normal"/>
    <w:rsid w:val="00006308"/>
    <w:pPr>
      <w:spacing w:line="240" w:lineRule="auto"/>
      <w:jc w:val="center"/>
    </w:pPr>
    <w:rPr>
      <w:b/>
      <w:bCs/>
      <w:u w:val="single"/>
      <w:lang w:eastAsia="de-DE"/>
    </w:rPr>
  </w:style>
  <w:style w:type="paragraph" w:customStyle="1" w:styleId="Exposdesmotifstitreglobal">
    <w:name w:val="Exposé des motifs titre (global)"/>
    <w:basedOn w:val="Normal"/>
    <w:next w:val="Normal"/>
    <w:rsid w:val="00006308"/>
    <w:pPr>
      <w:spacing w:line="240" w:lineRule="auto"/>
      <w:jc w:val="center"/>
    </w:pPr>
    <w:rPr>
      <w:b/>
      <w:bCs/>
      <w:u w:val="single"/>
      <w:lang w:eastAsia="de-DE"/>
    </w:rPr>
  </w:style>
  <w:style w:type="paragraph" w:customStyle="1" w:styleId="Langue">
    <w:name w:val="Langue"/>
    <w:basedOn w:val="Normal"/>
    <w:next w:val="Rfrenceinterne"/>
    <w:rsid w:val="00006308"/>
    <w:pPr>
      <w:spacing w:before="0" w:after="600" w:line="240" w:lineRule="auto"/>
      <w:jc w:val="center"/>
    </w:pPr>
    <w:rPr>
      <w:b/>
      <w:bCs/>
      <w:caps/>
      <w:lang w:eastAsia="de-DE"/>
    </w:rPr>
  </w:style>
  <w:style w:type="paragraph" w:customStyle="1" w:styleId="Langueoriginale">
    <w:name w:val="Langue originale"/>
    <w:basedOn w:val="Normal"/>
    <w:next w:val="Phrasefinale"/>
    <w:rsid w:val="00006308"/>
    <w:pPr>
      <w:spacing w:before="360" w:line="240" w:lineRule="auto"/>
      <w:jc w:val="center"/>
    </w:pPr>
    <w:rPr>
      <w:caps/>
      <w:lang w:eastAsia="de-DE"/>
    </w:rPr>
  </w:style>
  <w:style w:type="paragraph" w:customStyle="1" w:styleId="Nomdelinstitution">
    <w:name w:val="Nom de l'institution"/>
    <w:basedOn w:val="Normal"/>
    <w:next w:val="Emission"/>
    <w:rsid w:val="00006308"/>
    <w:pPr>
      <w:spacing w:before="0" w:after="0" w:line="240" w:lineRule="auto"/>
    </w:pPr>
    <w:rPr>
      <w:rFonts w:ascii="Arial" w:hAnsi="Arial" w:cs="Arial"/>
      <w:lang w:eastAsia="de-DE"/>
    </w:rPr>
  </w:style>
  <w:style w:type="paragraph" w:customStyle="1" w:styleId="Phrasefinale">
    <w:name w:val="Phrase finale"/>
    <w:basedOn w:val="Normal"/>
    <w:next w:val="Normal"/>
    <w:rsid w:val="00006308"/>
    <w:pPr>
      <w:spacing w:before="360" w:after="0" w:line="240" w:lineRule="auto"/>
      <w:jc w:val="center"/>
    </w:pPr>
    <w:rPr>
      <w:lang w:eastAsia="de-DE"/>
    </w:rPr>
  </w:style>
  <w:style w:type="paragraph" w:customStyle="1" w:styleId="Prliminairetitre">
    <w:name w:val="Préliminaire titre"/>
    <w:basedOn w:val="Normal"/>
    <w:next w:val="Normal"/>
    <w:rsid w:val="00006308"/>
    <w:pPr>
      <w:spacing w:before="360" w:after="360" w:line="240" w:lineRule="auto"/>
      <w:jc w:val="center"/>
    </w:pPr>
    <w:rPr>
      <w:b/>
      <w:bCs/>
      <w:lang w:eastAsia="de-DE"/>
    </w:rPr>
  </w:style>
  <w:style w:type="paragraph" w:customStyle="1" w:styleId="Prliminairetype">
    <w:name w:val="Préliminaire type"/>
    <w:basedOn w:val="Normal"/>
    <w:next w:val="Normal"/>
    <w:rsid w:val="00006308"/>
    <w:pPr>
      <w:spacing w:before="360" w:after="0" w:line="240" w:lineRule="auto"/>
      <w:jc w:val="center"/>
    </w:pPr>
    <w:rPr>
      <w:b/>
      <w:bCs/>
      <w:lang w:eastAsia="de-DE"/>
    </w:rPr>
  </w:style>
  <w:style w:type="paragraph" w:customStyle="1" w:styleId="Rfrenceinstitutionelle">
    <w:name w:val="Référence institutionelle"/>
    <w:basedOn w:val="Normal"/>
    <w:next w:val="Statut"/>
    <w:rsid w:val="00006308"/>
    <w:pPr>
      <w:spacing w:before="0" w:after="240" w:line="240" w:lineRule="auto"/>
      <w:ind w:left="5103"/>
    </w:pPr>
    <w:rPr>
      <w:lang w:eastAsia="de-DE"/>
    </w:rPr>
  </w:style>
  <w:style w:type="paragraph" w:customStyle="1" w:styleId="Rfrenceinterinstitutionelleprliminaire">
    <w:name w:val="Référence interinstitutionelle (préliminaire)"/>
    <w:basedOn w:val="Normal"/>
    <w:next w:val="Normal"/>
    <w:rsid w:val="00006308"/>
    <w:pPr>
      <w:spacing w:before="0" w:after="0" w:line="240" w:lineRule="auto"/>
      <w:ind w:left="5103"/>
    </w:pPr>
    <w:rPr>
      <w:lang w:eastAsia="de-DE"/>
    </w:rPr>
  </w:style>
  <w:style w:type="paragraph" w:customStyle="1" w:styleId="Rfrenceinterne">
    <w:name w:val="Référence interne"/>
    <w:basedOn w:val="Normal"/>
    <w:next w:val="Nomdelinstitution"/>
    <w:rsid w:val="00006308"/>
    <w:pPr>
      <w:spacing w:before="0" w:after="600" w:line="240" w:lineRule="auto"/>
      <w:jc w:val="center"/>
    </w:pPr>
    <w:rPr>
      <w:b/>
      <w:bCs/>
      <w:lang w:eastAsia="de-DE"/>
    </w:rPr>
  </w:style>
  <w:style w:type="paragraph" w:customStyle="1" w:styleId="Sous-titreobjetprliminaire">
    <w:name w:val="Sous-titre objet (préliminaire)"/>
    <w:basedOn w:val="Normal"/>
    <w:rsid w:val="00006308"/>
    <w:pPr>
      <w:spacing w:before="0" w:after="0" w:line="240" w:lineRule="auto"/>
      <w:jc w:val="center"/>
    </w:pPr>
    <w:rPr>
      <w:b/>
      <w:bCs/>
      <w:lang w:eastAsia="de-DE"/>
    </w:rPr>
  </w:style>
  <w:style w:type="paragraph" w:customStyle="1" w:styleId="Statutprliminaire">
    <w:name w:val="Statut (préliminaire)"/>
    <w:basedOn w:val="Normal"/>
    <w:next w:val="Normal"/>
    <w:rsid w:val="00006308"/>
    <w:pPr>
      <w:spacing w:before="360" w:after="0" w:line="240" w:lineRule="auto"/>
      <w:jc w:val="center"/>
    </w:pPr>
    <w:rPr>
      <w:lang w:eastAsia="de-DE"/>
    </w:rPr>
  </w:style>
  <w:style w:type="paragraph" w:customStyle="1" w:styleId="Titreobjetprliminaire">
    <w:name w:val="Titre objet (préliminaire)"/>
    <w:basedOn w:val="Normal"/>
    <w:next w:val="Normal"/>
    <w:rsid w:val="00006308"/>
    <w:pPr>
      <w:spacing w:before="360" w:after="360" w:line="240" w:lineRule="auto"/>
      <w:jc w:val="center"/>
    </w:pPr>
    <w:rPr>
      <w:b/>
      <w:bCs/>
      <w:lang w:eastAsia="de-DE"/>
    </w:rPr>
  </w:style>
  <w:style w:type="paragraph" w:customStyle="1" w:styleId="Typedudocumentprliminaire">
    <w:name w:val="Type du document (préliminaire)"/>
    <w:basedOn w:val="Normal"/>
    <w:next w:val="Normal"/>
    <w:rsid w:val="00006308"/>
    <w:pPr>
      <w:spacing w:before="360" w:after="0" w:line="240" w:lineRule="auto"/>
      <w:jc w:val="center"/>
    </w:pPr>
    <w:rPr>
      <w:b/>
      <w:bCs/>
      <w:lang w:eastAsia="de-DE"/>
    </w:rPr>
  </w:style>
  <w:style w:type="character" w:customStyle="1" w:styleId="Added">
    <w:name w:val="Added"/>
    <w:rsid w:val="00006308"/>
    <w:rPr>
      <w:rFonts w:cs="Times New Roman"/>
      <w:b/>
      <w:bCs/>
      <w:u w:val="single"/>
    </w:rPr>
  </w:style>
  <w:style w:type="character" w:customStyle="1" w:styleId="Deleted">
    <w:name w:val="Deleted"/>
    <w:rsid w:val="00006308"/>
    <w:rPr>
      <w:rFonts w:cs="Times New Roman"/>
      <w:strike/>
    </w:rPr>
  </w:style>
  <w:style w:type="paragraph" w:customStyle="1" w:styleId="Address">
    <w:name w:val="Address"/>
    <w:basedOn w:val="Normal"/>
    <w:next w:val="Normal"/>
    <w:rsid w:val="00006308"/>
    <w:pPr>
      <w:keepLines/>
      <w:ind w:left="3402"/>
    </w:pPr>
    <w:rPr>
      <w:lang w:eastAsia="de-DE"/>
    </w:rPr>
  </w:style>
  <w:style w:type="paragraph" w:customStyle="1" w:styleId="Fichefinancirestandardtitre">
    <w:name w:val="Fiche financière (standard) titre"/>
    <w:basedOn w:val="Normal"/>
    <w:next w:val="Normal"/>
    <w:rsid w:val="00006308"/>
    <w:pPr>
      <w:spacing w:line="240" w:lineRule="auto"/>
      <w:jc w:val="center"/>
    </w:pPr>
    <w:rPr>
      <w:b/>
      <w:bCs/>
      <w:u w:val="single"/>
      <w:lang w:eastAsia="de-DE"/>
    </w:rPr>
  </w:style>
  <w:style w:type="paragraph" w:customStyle="1" w:styleId="Fichefinancirestandardtitreacte">
    <w:name w:val="Fiche financière (standard) titre (acte)"/>
    <w:basedOn w:val="Normal"/>
    <w:next w:val="Normal"/>
    <w:rsid w:val="00006308"/>
    <w:pPr>
      <w:spacing w:line="240" w:lineRule="auto"/>
      <w:jc w:val="center"/>
    </w:pPr>
    <w:rPr>
      <w:b/>
      <w:bCs/>
      <w:u w:val="single"/>
      <w:lang w:eastAsia="de-DE"/>
    </w:rPr>
  </w:style>
  <w:style w:type="paragraph" w:customStyle="1" w:styleId="Fichefinanciretravailtitre">
    <w:name w:val="Fiche financière (travail) titre"/>
    <w:basedOn w:val="Normal"/>
    <w:next w:val="Normal"/>
    <w:rsid w:val="00006308"/>
    <w:pPr>
      <w:spacing w:line="240" w:lineRule="auto"/>
      <w:jc w:val="center"/>
    </w:pPr>
    <w:rPr>
      <w:b/>
      <w:bCs/>
      <w:u w:val="single"/>
      <w:lang w:eastAsia="de-DE"/>
    </w:rPr>
  </w:style>
  <w:style w:type="paragraph" w:customStyle="1" w:styleId="Fichefinanciretravailtitreacte">
    <w:name w:val="Fiche financière (travail) titre (acte)"/>
    <w:basedOn w:val="Normal"/>
    <w:next w:val="Normal"/>
    <w:rsid w:val="00006308"/>
    <w:pPr>
      <w:spacing w:line="240" w:lineRule="auto"/>
      <w:jc w:val="center"/>
    </w:pPr>
    <w:rPr>
      <w:b/>
      <w:bCs/>
      <w:u w:val="single"/>
      <w:lang w:eastAsia="de-DE"/>
    </w:rPr>
  </w:style>
  <w:style w:type="paragraph" w:customStyle="1" w:styleId="Fichefinancireattributiontitre">
    <w:name w:val="Fiche financière (attribution) titre"/>
    <w:basedOn w:val="Normal"/>
    <w:next w:val="Normal"/>
    <w:rsid w:val="00006308"/>
    <w:pPr>
      <w:spacing w:line="240" w:lineRule="auto"/>
      <w:jc w:val="center"/>
    </w:pPr>
    <w:rPr>
      <w:b/>
      <w:bCs/>
      <w:u w:val="single"/>
      <w:lang w:eastAsia="de-DE"/>
    </w:rPr>
  </w:style>
  <w:style w:type="paragraph" w:customStyle="1" w:styleId="Fichefinancireattributiontitreacte">
    <w:name w:val="Fiche financière (attribution) titre (acte)"/>
    <w:basedOn w:val="Normal"/>
    <w:next w:val="Normal"/>
    <w:rsid w:val="00006308"/>
    <w:pPr>
      <w:spacing w:line="240" w:lineRule="auto"/>
      <w:jc w:val="center"/>
    </w:pPr>
    <w:rPr>
      <w:b/>
      <w:bCs/>
      <w:u w:val="single"/>
      <w:lang w:eastAsia="de-DE"/>
    </w:rPr>
  </w:style>
  <w:style w:type="paragraph" w:customStyle="1" w:styleId="Objetexterne">
    <w:name w:val="Objet externe"/>
    <w:basedOn w:val="Normal"/>
    <w:next w:val="Normal"/>
    <w:rsid w:val="00006308"/>
    <w:pPr>
      <w:spacing w:line="240" w:lineRule="auto"/>
      <w:jc w:val="both"/>
    </w:pPr>
    <w:rPr>
      <w:i/>
      <w:iCs/>
      <w:caps/>
      <w:lang w:eastAsia="de-DE"/>
    </w:rPr>
  </w:style>
  <w:style w:type="character" w:styleId="Merknadsreferanse">
    <w:name w:val="annotation reference"/>
    <w:uiPriority w:val="99"/>
    <w:semiHidden/>
    <w:rsid w:val="00006308"/>
    <w:rPr>
      <w:rFonts w:cs="Times New Roman"/>
      <w:sz w:val="16"/>
      <w:szCs w:val="16"/>
    </w:rPr>
  </w:style>
  <w:style w:type="paragraph" w:styleId="Merknadstekst">
    <w:name w:val="annotation text"/>
    <w:basedOn w:val="Normal"/>
    <w:link w:val="MerknadstekstTegn"/>
    <w:uiPriority w:val="99"/>
    <w:semiHidden/>
    <w:rsid w:val="00006308"/>
    <w:pPr>
      <w:spacing w:line="240" w:lineRule="auto"/>
      <w:jc w:val="both"/>
    </w:pPr>
    <w:rPr>
      <w:sz w:val="20"/>
      <w:szCs w:val="20"/>
      <w:lang w:eastAsia="de-DE"/>
    </w:rPr>
  </w:style>
  <w:style w:type="character" w:customStyle="1" w:styleId="MerknadstekstTegn">
    <w:name w:val="Merknadstekst Tegn"/>
    <w:basedOn w:val="Standardskriftforavsnitt"/>
    <w:link w:val="Merknadstekst"/>
    <w:uiPriority w:val="99"/>
    <w:semiHidden/>
    <w:rsid w:val="00006308"/>
    <w:rPr>
      <w:lang w:val="en-GB"/>
    </w:rPr>
  </w:style>
  <w:style w:type="paragraph" w:styleId="Kommentaremne">
    <w:name w:val="annotation subject"/>
    <w:basedOn w:val="Merknadstekst"/>
    <w:next w:val="Merknadstekst"/>
    <w:link w:val="KommentaremneTegn"/>
    <w:semiHidden/>
    <w:rsid w:val="00006308"/>
    <w:rPr>
      <w:b/>
      <w:bCs/>
    </w:rPr>
  </w:style>
  <w:style w:type="character" w:customStyle="1" w:styleId="KommentaremneTegn">
    <w:name w:val="Kommentaremne Tegn"/>
    <w:basedOn w:val="MerknadstekstTegn"/>
    <w:link w:val="Kommentaremne"/>
    <w:semiHidden/>
    <w:rsid w:val="00006308"/>
    <w:rPr>
      <w:b/>
      <w:bCs/>
      <w:lang w:val="en-GB"/>
    </w:rPr>
  </w:style>
  <w:style w:type="character" w:styleId="Hyperkobling">
    <w:name w:val="Hyperlink"/>
    <w:rsid w:val="00006308"/>
    <w:rPr>
      <w:rFonts w:cs="Times New Roman"/>
      <w:color w:val="0000FF"/>
      <w:u w:val="single"/>
    </w:rPr>
  </w:style>
  <w:style w:type="paragraph" w:customStyle="1" w:styleId="GalTitleMoCAnnexAppdx">
    <w:name w:val="Gal Title MoC/Annex/Appdx"/>
    <w:rsid w:val="00006308"/>
    <w:pPr>
      <w:tabs>
        <w:tab w:val="center" w:pos="4680"/>
      </w:tabs>
      <w:jc w:val="center"/>
    </w:pPr>
    <w:rPr>
      <w:b/>
      <w:bCs/>
      <w:sz w:val="24"/>
      <w:szCs w:val="24"/>
      <w:lang w:val="en-GB" w:eastAsia="en-US"/>
    </w:rPr>
  </w:style>
  <w:style w:type="character" w:customStyle="1" w:styleId="CharacterStyle10">
    <w:name w:val="Character Style 1"/>
    <w:rsid w:val="00006308"/>
    <w:rPr>
      <w:sz w:val="20"/>
    </w:rPr>
  </w:style>
  <w:style w:type="table" w:styleId="Tabellrutenett">
    <w:name w:val="Table Grid"/>
    <w:basedOn w:val="Vanligtabell"/>
    <w:rsid w:val="00006308"/>
    <w:pPr>
      <w:spacing w:before="120"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06308"/>
    <w:pPr>
      <w:spacing w:before="100" w:beforeAutospacing="1" w:after="100" w:afterAutospacing="1" w:line="240" w:lineRule="auto"/>
    </w:pPr>
    <w:rPr>
      <w:lang w:eastAsia="en-GB"/>
    </w:rPr>
  </w:style>
  <w:style w:type="paragraph" w:customStyle="1" w:styleId="TitleAnnex">
    <w:name w:val="Title Annex"/>
    <w:rsid w:val="00006308"/>
    <w:pPr>
      <w:tabs>
        <w:tab w:val="center" w:pos="4680"/>
      </w:tabs>
      <w:jc w:val="center"/>
    </w:pPr>
    <w:rPr>
      <w:sz w:val="24"/>
      <w:szCs w:val="24"/>
      <w:lang w:val="en-GB" w:eastAsia="en-US"/>
    </w:rPr>
  </w:style>
  <w:style w:type="paragraph" w:customStyle="1" w:styleId="ArticleText">
    <w:name w:val="Article Text"/>
    <w:rsid w:val="00006308"/>
    <w:pPr>
      <w:tabs>
        <w:tab w:val="left" w:pos="-720"/>
        <w:tab w:val="left" w:pos="3261"/>
      </w:tabs>
      <w:spacing w:before="240"/>
      <w:ind w:firstLine="851"/>
    </w:pPr>
    <w:rPr>
      <w:sz w:val="24"/>
      <w:szCs w:val="24"/>
      <w:lang w:val="en-GB" w:eastAsia="en-US"/>
    </w:rPr>
  </w:style>
  <w:style w:type="paragraph" w:customStyle="1" w:styleId="Articlenblist">
    <w:name w:val="Article nb list"/>
    <w:rsid w:val="00006308"/>
    <w:pPr>
      <w:numPr>
        <w:numId w:val="48"/>
      </w:numPr>
      <w:tabs>
        <w:tab w:val="left" w:pos="-720"/>
      </w:tabs>
      <w:spacing w:before="120"/>
    </w:pPr>
    <w:rPr>
      <w:sz w:val="24"/>
      <w:szCs w:val="24"/>
      <w:lang w:val="en-GB" w:eastAsia="en-US"/>
    </w:rPr>
  </w:style>
  <w:style w:type="paragraph" w:customStyle="1" w:styleId="Articlealphalist">
    <w:name w:val="Article alpha list"/>
    <w:basedOn w:val="ArticleText"/>
    <w:rsid w:val="00006308"/>
    <w:pPr>
      <w:ind w:left="851" w:hanging="425"/>
    </w:pPr>
  </w:style>
  <w:style w:type="paragraph" w:customStyle="1" w:styleId="ArticleText1line">
    <w:name w:val="Article Text 1line"/>
    <w:basedOn w:val="ArticleText"/>
    <w:rsid w:val="00006308"/>
    <w:pPr>
      <w:spacing w:before="0"/>
      <w:ind w:left="3261" w:firstLine="0"/>
    </w:pPr>
  </w:style>
  <w:style w:type="paragraph" w:customStyle="1" w:styleId="NormalConseil">
    <w:name w:val="NormalConseil"/>
    <w:basedOn w:val="Normal"/>
    <w:rsid w:val="00006308"/>
    <w:pPr>
      <w:spacing w:before="0" w:after="0" w:line="240" w:lineRule="auto"/>
    </w:pPr>
    <w:rPr>
      <w:lang w:eastAsia="fr-BE"/>
    </w:rPr>
  </w:style>
  <w:style w:type="paragraph" w:customStyle="1" w:styleId="FooterConseil">
    <w:name w:val="FooterConseil"/>
    <w:basedOn w:val="NormalConseil"/>
    <w:rsid w:val="00006308"/>
    <w:pPr>
      <w:tabs>
        <w:tab w:val="center" w:pos="4820"/>
        <w:tab w:val="center" w:pos="7371"/>
        <w:tab w:val="right" w:pos="9639"/>
      </w:tabs>
    </w:pPr>
  </w:style>
  <w:style w:type="paragraph" w:customStyle="1" w:styleId="Znak1">
    <w:name w:val="Znak1"/>
    <w:basedOn w:val="Normal"/>
    <w:rsid w:val="00006308"/>
    <w:pPr>
      <w:spacing w:before="0" w:after="0" w:line="240" w:lineRule="auto"/>
    </w:pPr>
    <w:rPr>
      <w:lang w:val="pl-PL" w:eastAsia="pl-PL"/>
    </w:rPr>
  </w:style>
  <w:style w:type="paragraph" w:customStyle="1" w:styleId="prdate">
    <w:name w:val="prdate"/>
    <w:basedOn w:val="Normal"/>
    <w:rsid w:val="00006308"/>
    <w:pPr>
      <w:spacing w:before="100" w:beforeAutospacing="1" w:after="100" w:afterAutospacing="1" w:line="240" w:lineRule="auto"/>
    </w:pPr>
    <w:rPr>
      <w:lang w:val="fr-BE" w:eastAsia="fr-BE"/>
    </w:rPr>
  </w:style>
  <w:style w:type="paragraph" w:customStyle="1" w:styleId="Style10">
    <w:name w:val="Style 1"/>
    <w:rsid w:val="00006308"/>
    <w:pPr>
      <w:widowControl w:val="0"/>
      <w:autoSpaceDE w:val="0"/>
      <w:autoSpaceDN w:val="0"/>
      <w:adjustRightInd w:val="0"/>
    </w:pPr>
    <w:rPr>
      <w:sz w:val="22"/>
      <w:szCs w:val="22"/>
      <w:lang w:val="en-US" w:eastAsia="fr-BE"/>
    </w:rPr>
  </w:style>
  <w:style w:type="paragraph" w:customStyle="1" w:styleId="Style2">
    <w:name w:val="Style 2"/>
    <w:rsid w:val="00006308"/>
    <w:pPr>
      <w:widowControl w:val="0"/>
      <w:autoSpaceDE w:val="0"/>
      <w:autoSpaceDN w:val="0"/>
      <w:adjustRightInd w:val="0"/>
    </w:pPr>
    <w:rPr>
      <w:lang w:val="en-US" w:eastAsia="fr-BE"/>
    </w:rPr>
  </w:style>
  <w:style w:type="paragraph" w:customStyle="1" w:styleId="5Normal">
    <w:name w:val="5 Normal"/>
    <w:rsid w:val="000063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22"/>
      <w:szCs w:val="22"/>
      <w:lang w:val="en-GB" w:eastAsia="en-GB"/>
    </w:rPr>
  </w:style>
  <w:style w:type="paragraph" w:customStyle="1" w:styleId="1NNote">
    <w:name w:val="1 N° Note"/>
    <w:basedOn w:val="Normal"/>
    <w:next w:val="2Date"/>
    <w:rsid w:val="000063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line="240" w:lineRule="auto"/>
      <w:jc w:val="right"/>
    </w:pPr>
    <w:rPr>
      <w:rFonts w:ascii="Arial" w:hAnsi="Arial" w:cs="Arial"/>
      <w:b/>
      <w:bCs/>
      <w:caps/>
      <w:lang w:eastAsia="en-GB"/>
    </w:rPr>
  </w:style>
  <w:style w:type="paragraph" w:customStyle="1" w:styleId="2Date">
    <w:name w:val="2 Date"/>
    <w:basedOn w:val="Normal"/>
    <w:next w:val="3Titre"/>
    <w:rsid w:val="000063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0" w:line="240" w:lineRule="auto"/>
      <w:jc w:val="right"/>
    </w:pPr>
    <w:rPr>
      <w:rFonts w:ascii="Arial" w:hAnsi="Arial" w:cs="Arial"/>
      <w:sz w:val="22"/>
      <w:szCs w:val="22"/>
      <w:lang w:eastAsia="en-GB"/>
    </w:rPr>
  </w:style>
  <w:style w:type="paragraph" w:customStyle="1" w:styleId="3Titre">
    <w:name w:val="3 Titre"/>
    <w:basedOn w:val="Normal"/>
    <w:next w:val="Normal"/>
    <w:autoRedefine/>
    <w:rsid w:val="000063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360" w:after="0" w:line="240" w:lineRule="auto"/>
      <w:jc w:val="both"/>
    </w:pPr>
    <w:rPr>
      <w:rFonts w:ascii="Arial" w:hAnsi="Arial" w:cs="Arial"/>
      <w:b/>
      <w:bCs/>
      <w:sz w:val="32"/>
      <w:szCs w:val="32"/>
      <w:lang w:val="fr-FR" w:eastAsia="en-GB"/>
    </w:rPr>
  </w:style>
  <w:style w:type="paragraph" w:customStyle="1" w:styleId="Sous-titre1">
    <w:name w:val="Sous-titre 1"/>
    <w:basedOn w:val="Normal"/>
    <w:next w:val="5Normal"/>
    <w:autoRedefine/>
    <w:rsid w:val="00006308"/>
    <w:pPr>
      <w:numPr>
        <w:numId w:val="49"/>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line="240" w:lineRule="auto"/>
      <w:jc w:val="both"/>
    </w:pPr>
    <w:rPr>
      <w:rFonts w:ascii="Arial" w:hAnsi="Arial" w:cs="Arial"/>
      <w:b/>
      <w:bCs/>
      <w:lang w:val="fr-FR" w:eastAsia="en-GB"/>
    </w:rPr>
  </w:style>
  <w:style w:type="character" w:customStyle="1" w:styleId="apple-style-span">
    <w:name w:val="apple-style-span"/>
    <w:rsid w:val="00006308"/>
    <w:rPr>
      <w:rFonts w:cs="Times New Roman"/>
    </w:rPr>
  </w:style>
  <w:style w:type="paragraph" w:customStyle="1" w:styleId="SJNumPar">
    <w:name w:val="SJNumPar"/>
    <w:basedOn w:val="Overskrift1"/>
    <w:link w:val="SJNumParChar"/>
    <w:rsid w:val="00006308"/>
    <w:pPr>
      <w:keepNext w:val="0"/>
      <w:numPr>
        <w:numId w:val="0"/>
      </w:numPr>
      <w:tabs>
        <w:tab w:val="left" w:pos="475"/>
      </w:tabs>
      <w:spacing w:before="0" w:after="240" w:line="360" w:lineRule="auto"/>
      <w:ind w:left="476" w:hanging="476"/>
      <w:outlineLvl w:val="9"/>
    </w:pPr>
    <w:rPr>
      <w:b w:val="0"/>
      <w:bCs w:val="0"/>
      <w:smallCaps w:val="0"/>
      <w:lang w:eastAsia="en-GB"/>
    </w:rPr>
  </w:style>
  <w:style w:type="character" w:customStyle="1" w:styleId="SJNumParChar">
    <w:name w:val="SJNumPar Char"/>
    <w:link w:val="SJNumPar"/>
    <w:rsid w:val="00006308"/>
    <w:rPr>
      <w:sz w:val="24"/>
      <w:szCs w:val="24"/>
      <w:lang w:val="en-GB" w:eastAsia="en-GB"/>
    </w:rPr>
  </w:style>
  <w:style w:type="paragraph" w:styleId="Bildetekst">
    <w:name w:val="caption"/>
    <w:basedOn w:val="Normal"/>
    <w:next w:val="Normal"/>
    <w:qFormat/>
    <w:rsid w:val="00006308"/>
    <w:pPr>
      <w:spacing w:before="0" w:after="0" w:line="240" w:lineRule="auto"/>
    </w:pPr>
    <w:rPr>
      <w:rFonts w:eastAsia="MS Mincho"/>
      <w:b/>
      <w:bCs/>
      <w:sz w:val="20"/>
      <w:szCs w:val="20"/>
      <w:lang w:eastAsia="en-GB"/>
    </w:rPr>
  </w:style>
  <w:style w:type="paragraph" w:styleId="HTML-forhndsformatert">
    <w:name w:val="HTML Preformatted"/>
    <w:basedOn w:val="Normal"/>
    <w:link w:val="HTML-forhndsformatertTegn"/>
    <w:rsid w:val="0000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fr-FR" w:eastAsia="fr-FR"/>
    </w:rPr>
  </w:style>
  <w:style w:type="character" w:customStyle="1" w:styleId="HTML-forhndsformatertTegn">
    <w:name w:val="HTML-forhåndsformatert Tegn"/>
    <w:basedOn w:val="Standardskriftforavsnitt"/>
    <w:link w:val="HTML-forhndsformatert"/>
    <w:rsid w:val="00006308"/>
    <w:rPr>
      <w:rFonts w:ascii="Courier New" w:hAnsi="Courier New" w:cs="Courier New"/>
      <w:lang w:val="fr-FR" w:eastAsia="fr-FR"/>
    </w:rPr>
  </w:style>
  <w:style w:type="character" w:customStyle="1" w:styleId="hps">
    <w:name w:val="hps"/>
    <w:rsid w:val="00006308"/>
    <w:rPr>
      <w:rFonts w:cs="Times New Roman"/>
    </w:rPr>
  </w:style>
  <w:style w:type="paragraph" w:customStyle="1" w:styleId="Point0number">
    <w:name w:val="Point 0 (number)"/>
    <w:basedOn w:val="Normal"/>
    <w:rsid w:val="00006308"/>
    <w:pPr>
      <w:numPr>
        <w:numId w:val="50"/>
      </w:numPr>
      <w:spacing w:line="240" w:lineRule="auto"/>
      <w:jc w:val="both"/>
    </w:pPr>
  </w:style>
  <w:style w:type="paragraph" w:customStyle="1" w:styleId="Point1number">
    <w:name w:val="Point 1 (number)"/>
    <w:basedOn w:val="Normal"/>
    <w:rsid w:val="00006308"/>
    <w:pPr>
      <w:numPr>
        <w:ilvl w:val="2"/>
        <w:numId w:val="50"/>
      </w:numPr>
      <w:spacing w:line="240" w:lineRule="auto"/>
      <w:jc w:val="both"/>
    </w:pPr>
  </w:style>
  <w:style w:type="paragraph" w:customStyle="1" w:styleId="Point2number">
    <w:name w:val="Point 2 (number)"/>
    <w:basedOn w:val="Normal"/>
    <w:rsid w:val="00006308"/>
    <w:pPr>
      <w:numPr>
        <w:ilvl w:val="4"/>
        <w:numId w:val="50"/>
      </w:numPr>
      <w:spacing w:line="240" w:lineRule="auto"/>
      <w:jc w:val="both"/>
    </w:pPr>
  </w:style>
  <w:style w:type="paragraph" w:customStyle="1" w:styleId="Point3number">
    <w:name w:val="Point 3 (number)"/>
    <w:basedOn w:val="Normal"/>
    <w:rsid w:val="00006308"/>
    <w:pPr>
      <w:numPr>
        <w:ilvl w:val="6"/>
        <w:numId w:val="50"/>
      </w:numPr>
      <w:spacing w:line="240" w:lineRule="auto"/>
      <w:jc w:val="both"/>
    </w:pPr>
  </w:style>
  <w:style w:type="paragraph" w:customStyle="1" w:styleId="Point0letter">
    <w:name w:val="Point 0 (letter)"/>
    <w:basedOn w:val="Normal"/>
    <w:rsid w:val="00006308"/>
    <w:pPr>
      <w:numPr>
        <w:ilvl w:val="1"/>
        <w:numId w:val="50"/>
      </w:numPr>
      <w:spacing w:line="240" w:lineRule="auto"/>
      <w:jc w:val="both"/>
    </w:pPr>
  </w:style>
  <w:style w:type="paragraph" w:customStyle="1" w:styleId="Point1letter">
    <w:name w:val="Point 1 (letter)"/>
    <w:basedOn w:val="Normal"/>
    <w:rsid w:val="00006308"/>
    <w:pPr>
      <w:numPr>
        <w:ilvl w:val="3"/>
        <w:numId w:val="50"/>
      </w:numPr>
      <w:spacing w:line="240" w:lineRule="auto"/>
      <w:jc w:val="both"/>
    </w:pPr>
  </w:style>
  <w:style w:type="paragraph" w:customStyle="1" w:styleId="Point2letter">
    <w:name w:val="Point 2 (letter)"/>
    <w:basedOn w:val="Normal"/>
    <w:rsid w:val="00006308"/>
    <w:pPr>
      <w:numPr>
        <w:ilvl w:val="5"/>
        <w:numId w:val="50"/>
      </w:numPr>
      <w:spacing w:line="240" w:lineRule="auto"/>
      <w:jc w:val="both"/>
    </w:pPr>
  </w:style>
  <w:style w:type="paragraph" w:customStyle="1" w:styleId="Point3letter">
    <w:name w:val="Point 3 (letter)"/>
    <w:basedOn w:val="Normal"/>
    <w:rsid w:val="00006308"/>
    <w:pPr>
      <w:numPr>
        <w:ilvl w:val="7"/>
        <w:numId w:val="50"/>
      </w:numPr>
      <w:spacing w:line="240" w:lineRule="auto"/>
      <w:jc w:val="both"/>
    </w:pPr>
  </w:style>
  <w:style w:type="paragraph" w:customStyle="1" w:styleId="Point4letter">
    <w:name w:val="Point 4 (letter)"/>
    <w:basedOn w:val="Normal"/>
    <w:rsid w:val="00006308"/>
    <w:pPr>
      <w:numPr>
        <w:ilvl w:val="8"/>
        <w:numId w:val="50"/>
      </w:numPr>
      <w:spacing w:line="240" w:lineRule="auto"/>
      <w:jc w:val="both"/>
    </w:pPr>
  </w:style>
  <w:style w:type="paragraph" w:styleId="Listeavsnitt">
    <w:name w:val="List Paragraph"/>
    <w:basedOn w:val="Normal"/>
    <w:uiPriority w:val="34"/>
    <w:qFormat/>
    <w:rsid w:val="00006308"/>
    <w:pPr>
      <w:spacing w:before="0" w:after="0" w:line="240" w:lineRule="auto"/>
      <w:ind w:left="720"/>
      <w:contextualSpacing/>
    </w:pPr>
    <w:rPr>
      <w:lang w:val="it-IT" w:eastAsia="it-IT"/>
    </w:rPr>
  </w:style>
  <w:style w:type="paragraph" w:customStyle="1" w:styleId="CM4">
    <w:name w:val="CM4"/>
    <w:basedOn w:val="Normal"/>
    <w:next w:val="Normal"/>
    <w:rsid w:val="00006308"/>
    <w:pPr>
      <w:autoSpaceDE w:val="0"/>
      <w:autoSpaceDN w:val="0"/>
      <w:adjustRightInd w:val="0"/>
      <w:spacing w:before="0" w:after="0" w:line="240" w:lineRule="auto"/>
    </w:pPr>
    <w:rPr>
      <w:rFonts w:ascii="EUAlbertina" w:hAnsi="EUAlbertina" w:cs="EUAlbertina"/>
      <w:lang w:val="en-US"/>
    </w:rPr>
  </w:style>
  <w:style w:type="paragraph" w:customStyle="1" w:styleId="CharCharChar">
    <w:name w:val="Char Char Char"/>
    <w:basedOn w:val="Normal"/>
    <w:rsid w:val="00006308"/>
    <w:pPr>
      <w:spacing w:before="0" w:after="160" w:line="240" w:lineRule="exact"/>
    </w:pPr>
    <w:rPr>
      <w:rFonts w:ascii="Tahoma" w:hAnsi="Tahoma" w:cs="Tahoma"/>
      <w:sz w:val="20"/>
      <w:szCs w:val="20"/>
      <w:lang w:val="en-US"/>
    </w:rPr>
  </w:style>
  <w:style w:type="paragraph" w:customStyle="1" w:styleId="Par-dbltiret">
    <w:name w:val="Par-dbltiret"/>
    <w:basedOn w:val="Normal"/>
    <w:next w:val="Normal"/>
    <w:rsid w:val="00006308"/>
    <w:pPr>
      <w:tabs>
        <w:tab w:val="num" w:pos="360"/>
      </w:tabs>
      <w:spacing w:before="0" w:after="0"/>
      <w:ind w:left="357" w:hanging="357"/>
    </w:pPr>
    <w:rPr>
      <w:lang w:val="fr-FR" w:eastAsia="fr-BE"/>
    </w:rPr>
  </w:style>
  <w:style w:type="paragraph" w:customStyle="1" w:styleId="Par-letter">
    <w:name w:val="Par-letter"/>
    <w:basedOn w:val="Normal"/>
    <w:next w:val="Normal"/>
    <w:rsid w:val="00006308"/>
    <w:pPr>
      <w:tabs>
        <w:tab w:val="num" w:pos="720"/>
      </w:tabs>
      <w:spacing w:before="0" w:after="0"/>
      <w:ind w:left="720" w:hanging="720"/>
    </w:pPr>
    <w:rPr>
      <w:lang w:val="fr-FR" w:eastAsia="fr-BE"/>
    </w:rPr>
  </w:style>
  <w:style w:type="paragraph" w:customStyle="1" w:styleId="Par-number12">
    <w:name w:val="Par-number(1)"/>
    <w:basedOn w:val="Normal"/>
    <w:next w:val="Normal"/>
    <w:rsid w:val="00006308"/>
    <w:pPr>
      <w:tabs>
        <w:tab w:val="num" w:pos="720"/>
      </w:tabs>
      <w:spacing w:before="0" w:after="0"/>
      <w:ind w:left="720" w:hanging="720"/>
    </w:pPr>
    <w:rPr>
      <w:lang w:val="fr-FR" w:eastAsia="fr-BE"/>
    </w:rPr>
  </w:style>
  <w:style w:type="paragraph" w:customStyle="1" w:styleId="Par-number13">
    <w:name w:val="Par-number1"/>
    <w:basedOn w:val="Normal"/>
    <w:next w:val="Normal"/>
    <w:rsid w:val="00006308"/>
    <w:pPr>
      <w:tabs>
        <w:tab w:val="num" w:pos="720"/>
      </w:tabs>
      <w:spacing w:before="0" w:after="0"/>
      <w:ind w:left="720" w:hanging="720"/>
    </w:pPr>
    <w:rPr>
      <w:lang w:val="fr-FR" w:eastAsia="fr-BE"/>
    </w:rPr>
  </w:style>
  <w:style w:type="paragraph" w:customStyle="1" w:styleId="Par-numberI1">
    <w:name w:val="Par-numberI"/>
    <w:basedOn w:val="Normal"/>
    <w:next w:val="Normal"/>
    <w:rsid w:val="00006308"/>
    <w:pPr>
      <w:tabs>
        <w:tab w:val="num" w:pos="720"/>
      </w:tabs>
      <w:spacing w:before="0" w:after="0"/>
      <w:ind w:left="720" w:hanging="720"/>
    </w:pPr>
    <w:rPr>
      <w:lang w:val="fr-FR" w:eastAsia="fr-BE"/>
    </w:rPr>
  </w:style>
  <w:style w:type="paragraph" w:customStyle="1" w:styleId="Par-tiret">
    <w:name w:val="Par-tiret"/>
    <w:basedOn w:val="Normal"/>
    <w:next w:val="Normal"/>
    <w:rsid w:val="00006308"/>
    <w:pPr>
      <w:tabs>
        <w:tab w:val="num" w:pos="360"/>
      </w:tabs>
      <w:spacing w:before="0" w:after="0"/>
      <w:ind w:left="357" w:hanging="357"/>
    </w:pPr>
    <w:rPr>
      <w:lang w:val="fr-FR" w:eastAsia="fr-BE"/>
    </w:rPr>
  </w:style>
  <w:style w:type="paragraph" w:styleId="Brdtekstinnrykk">
    <w:name w:val="Body Text Indent"/>
    <w:basedOn w:val="Normal"/>
    <w:link w:val="BrdtekstinnrykkTegn"/>
    <w:rsid w:val="00006308"/>
    <w:pPr>
      <w:spacing w:before="0" w:after="0" w:line="240" w:lineRule="auto"/>
      <w:ind w:firstLine="851"/>
      <w:jc w:val="both"/>
    </w:pPr>
  </w:style>
  <w:style w:type="character" w:customStyle="1" w:styleId="BrdtekstinnrykkTegn">
    <w:name w:val="Brødtekstinnrykk Tegn"/>
    <w:basedOn w:val="Standardskriftforavsnitt"/>
    <w:link w:val="Brdtekstinnrykk"/>
    <w:rsid w:val="00006308"/>
    <w:rPr>
      <w:sz w:val="24"/>
      <w:szCs w:val="24"/>
      <w:lang w:val="en-GB" w:eastAsia="en-US"/>
    </w:rPr>
  </w:style>
  <w:style w:type="paragraph" w:styleId="Brdtekstinnrykk2">
    <w:name w:val="Body Text Indent 2"/>
    <w:basedOn w:val="Normal"/>
    <w:link w:val="Brdtekstinnrykk2Tegn"/>
    <w:rsid w:val="00006308"/>
    <w:pPr>
      <w:tabs>
        <w:tab w:val="left" w:pos="369"/>
      </w:tabs>
      <w:spacing w:before="0" w:after="0" w:line="240" w:lineRule="auto"/>
      <w:ind w:left="369" w:hanging="369"/>
    </w:pPr>
    <w:rPr>
      <w:b/>
      <w:bCs/>
      <w:lang w:eastAsia="fr-BE"/>
    </w:rPr>
  </w:style>
  <w:style w:type="character" w:customStyle="1" w:styleId="Brdtekstinnrykk2Tegn">
    <w:name w:val="Brødtekstinnrykk 2 Tegn"/>
    <w:basedOn w:val="Standardskriftforavsnitt"/>
    <w:link w:val="Brdtekstinnrykk2"/>
    <w:rsid w:val="00006308"/>
    <w:rPr>
      <w:b/>
      <w:bCs/>
      <w:sz w:val="24"/>
      <w:szCs w:val="24"/>
      <w:lang w:val="en-GB" w:eastAsia="fr-BE"/>
    </w:rPr>
  </w:style>
  <w:style w:type="paragraph" w:styleId="Vanliginnrykk">
    <w:name w:val="Normal Indent"/>
    <w:basedOn w:val="Normal"/>
    <w:rsid w:val="00006308"/>
    <w:pPr>
      <w:widowControl w:val="0"/>
      <w:spacing w:before="0" w:after="0"/>
      <w:ind w:left="567"/>
    </w:pPr>
    <w:rPr>
      <w:lang w:eastAsia="fr-BE"/>
    </w:rPr>
  </w:style>
  <w:style w:type="paragraph" w:customStyle="1" w:styleId="Subject">
    <w:name w:val="Subject"/>
    <w:basedOn w:val="Normal"/>
    <w:next w:val="Normal"/>
    <w:rsid w:val="00006308"/>
    <w:pPr>
      <w:spacing w:before="0" w:after="480" w:line="240" w:lineRule="auto"/>
      <w:ind w:left="1191" w:hanging="1191"/>
    </w:pPr>
    <w:rPr>
      <w:b/>
      <w:bCs/>
    </w:rPr>
  </w:style>
  <w:style w:type="paragraph" w:customStyle="1" w:styleId="NoteHead">
    <w:name w:val="NoteHead"/>
    <w:basedOn w:val="Normal"/>
    <w:next w:val="Subject"/>
    <w:rsid w:val="00006308"/>
    <w:pPr>
      <w:spacing w:before="720" w:after="720" w:line="240" w:lineRule="auto"/>
      <w:jc w:val="center"/>
    </w:pPr>
    <w:rPr>
      <w:b/>
      <w:bCs/>
      <w:smallCaps/>
    </w:rPr>
  </w:style>
  <w:style w:type="paragraph" w:styleId="Brdtekst3">
    <w:name w:val="Body Text 3"/>
    <w:basedOn w:val="Normal"/>
    <w:link w:val="Brdtekst3Tegn"/>
    <w:rsid w:val="00006308"/>
    <w:pPr>
      <w:autoSpaceDE w:val="0"/>
      <w:autoSpaceDN w:val="0"/>
      <w:adjustRightInd w:val="0"/>
      <w:spacing w:before="0" w:after="0" w:line="240" w:lineRule="auto"/>
      <w:ind w:right="74"/>
    </w:pPr>
    <w:rPr>
      <w:b/>
      <w:bCs/>
      <w:lang w:eastAsia="nb-NO"/>
    </w:rPr>
  </w:style>
  <w:style w:type="character" w:customStyle="1" w:styleId="Brdtekst3Tegn">
    <w:name w:val="Brødtekst 3 Tegn"/>
    <w:basedOn w:val="Standardskriftforavsnitt"/>
    <w:link w:val="Brdtekst3"/>
    <w:rsid w:val="00006308"/>
    <w:rPr>
      <w:b/>
      <w:bCs/>
      <w:sz w:val="24"/>
      <w:szCs w:val="24"/>
      <w:lang w:val="en-GB" w:eastAsia="nb-NO"/>
    </w:rPr>
  </w:style>
  <w:style w:type="paragraph" w:styleId="Makrotekst">
    <w:name w:val="macro"/>
    <w:link w:val="MakrotekstTegn"/>
    <w:semiHidden/>
    <w:rsid w:val="00006308"/>
    <w:pPr>
      <w:widowControl w:val="0"/>
      <w:tabs>
        <w:tab w:val="left" w:pos="475"/>
        <w:tab w:val="left" w:pos="950"/>
        <w:tab w:val="left" w:pos="1426"/>
        <w:tab w:val="left" w:pos="1915"/>
        <w:tab w:val="left" w:pos="2390"/>
        <w:tab w:val="left" w:pos="2866"/>
        <w:tab w:val="left" w:pos="3355"/>
        <w:tab w:val="left" w:pos="3830"/>
        <w:tab w:val="left" w:pos="4306"/>
      </w:tabs>
    </w:pPr>
    <w:rPr>
      <w:rFonts w:ascii="Courier New" w:hAnsi="Courier New" w:cs="Courier New"/>
      <w:noProof/>
      <w:lang w:val="en-US" w:eastAsia="en-US"/>
    </w:rPr>
  </w:style>
  <w:style w:type="character" w:customStyle="1" w:styleId="MakrotekstTegn">
    <w:name w:val="Makrotekst Tegn"/>
    <w:basedOn w:val="Standardskriftforavsnitt"/>
    <w:link w:val="Makrotekst"/>
    <w:semiHidden/>
    <w:rsid w:val="00006308"/>
    <w:rPr>
      <w:rFonts w:ascii="Courier New" w:hAnsi="Courier New" w:cs="Courier New"/>
      <w:noProof/>
      <w:lang w:val="en-US" w:eastAsia="en-US"/>
    </w:rPr>
  </w:style>
  <w:style w:type="paragraph" w:customStyle="1" w:styleId="Normal6">
    <w:name w:val="Normal6"/>
    <w:basedOn w:val="Normal"/>
    <w:link w:val="Normal6Char"/>
    <w:rsid w:val="00006308"/>
    <w:pPr>
      <w:widowControl w:val="0"/>
      <w:spacing w:before="0" w:line="240" w:lineRule="auto"/>
    </w:pPr>
    <w:rPr>
      <w:noProof/>
      <w:lang w:eastAsia="en-GB"/>
    </w:rPr>
  </w:style>
  <w:style w:type="character" w:customStyle="1" w:styleId="HideTWBExt">
    <w:name w:val="HideTWBExt"/>
    <w:rsid w:val="00006308"/>
    <w:rPr>
      <w:rFonts w:ascii="Arial" w:hAnsi="Arial" w:cs="Arial"/>
      <w:noProof/>
      <w:vanish/>
      <w:color w:val="000080"/>
      <w:sz w:val="20"/>
      <w:szCs w:val="20"/>
    </w:rPr>
  </w:style>
  <w:style w:type="paragraph" w:customStyle="1" w:styleId="NormalCentreKeep">
    <w:name w:val="NormalCentreKeep"/>
    <w:basedOn w:val="Normal"/>
    <w:rsid w:val="00006308"/>
    <w:pPr>
      <w:keepNext/>
      <w:widowControl w:val="0"/>
      <w:spacing w:before="0" w:after="0" w:line="240" w:lineRule="auto"/>
      <w:jc w:val="center"/>
    </w:pPr>
    <w:rPr>
      <w:noProof/>
      <w:lang w:eastAsia="en-GB"/>
    </w:rPr>
  </w:style>
  <w:style w:type="paragraph" w:customStyle="1" w:styleId="Normal12Centre">
    <w:name w:val="Normal12Centre"/>
    <w:basedOn w:val="Normal"/>
    <w:rsid w:val="00006308"/>
    <w:pPr>
      <w:widowControl w:val="0"/>
      <w:spacing w:before="0" w:after="240" w:line="240" w:lineRule="auto"/>
      <w:jc w:val="center"/>
    </w:pPr>
    <w:rPr>
      <w:noProof/>
      <w:lang w:eastAsia="en-GB"/>
    </w:rPr>
  </w:style>
  <w:style w:type="character" w:customStyle="1" w:styleId="Point1Char">
    <w:name w:val="Point 1 Char"/>
    <w:link w:val="Point1"/>
    <w:rsid w:val="00006308"/>
    <w:rPr>
      <w:sz w:val="24"/>
      <w:szCs w:val="24"/>
      <w:lang w:val="en-GB" w:eastAsia="en-US"/>
    </w:rPr>
  </w:style>
  <w:style w:type="paragraph" w:customStyle="1" w:styleId="CharChar1CharChar">
    <w:name w:val="Char Char1 Char Char"/>
    <w:basedOn w:val="Normal"/>
    <w:rsid w:val="00006308"/>
    <w:pPr>
      <w:spacing w:before="0" w:after="160" w:line="240" w:lineRule="exact"/>
    </w:pPr>
    <w:rPr>
      <w:rFonts w:ascii="Tahoma" w:hAnsi="Tahoma" w:cs="Tahoma"/>
      <w:sz w:val="20"/>
      <w:szCs w:val="20"/>
      <w:lang w:val="en-US"/>
    </w:rPr>
  </w:style>
  <w:style w:type="paragraph" w:customStyle="1" w:styleId="CharChar1CharCharCharCharCharCharCharCharCharCharCharCharChar">
    <w:name w:val="Char Char1 Char Char Char Char Char Char Char Char Char Char Char Char Char"/>
    <w:basedOn w:val="Normal"/>
    <w:rsid w:val="00006308"/>
    <w:pPr>
      <w:spacing w:before="0" w:after="160" w:line="240" w:lineRule="exact"/>
    </w:pPr>
    <w:rPr>
      <w:rFonts w:ascii="Tahoma" w:hAnsi="Tahoma" w:cs="Tahoma"/>
      <w:sz w:val="20"/>
      <w:szCs w:val="20"/>
      <w:lang w:val="en-US"/>
    </w:rPr>
  </w:style>
  <w:style w:type="paragraph" w:customStyle="1" w:styleId="NormalBold">
    <w:name w:val="NormalBold"/>
    <w:basedOn w:val="Normal"/>
    <w:link w:val="NormalBoldChar"/>
    <w:rsid w:val="00006308"/>
    <w:pPr>
      <w:widowControl w:val="0"/>
      <w:spacing w:before="0" w:after="0" w:line="240" w:lineRule="auto"/>
    </w:pPr>
    <w:rPr>
      <w:b/>
      <w:bCs/>
      <w:lang w:eastAsia="en-GB"/>
    </w:rPr>
  </w:style>
  <w:style w:type="paragraph" w:customStyle="1" w:styleId="AMNumberTabs">
    <w:name w:val="AMNumberTabs"/>
    <w:basedOn w:val="Normal"/>
    <w:rsid w:val="0000630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bCs/>
      <w:lang w:eastAsia="en-GB"/>
    </w:rPr>
  </w:style>
  <w:style w:type="paragraph" w:customStyle="1" w:styleId="NormalBold12b">
    <w:name w:val="NormalBold12b"/>
    <w:basedOn w:val="Normal"/>
    <w:rsid w:val="00006308"/>
    <w:pPr>
      <w:widowControl w:val="0"/>
      <w:spacing w:before="240" w:after="0" w:line="240" w:lineRule="auto"/>
    </w:pPr>
    <w:rPr>
      <w:b/>
      <w:bCs/>
      <w:lang w:eastAsia="en-GB"/>
    </w:rPr>
  </w:style>
  <w:style w:type="paragraph" w:customStyle="1" w:styleId="Olang12">
    <w:name w:val="Olang12"/>
    <w:basedOn w:val="Normal"/>
    <w:rsid w:val="00006308"/>
    <w:pPr>
      <w:widowControl w:val="0"/>
      <w:spacing w:before="0" w:after="240" w:line="240" w:lineRule="auto"/>
      <w:jc w:val="right"/>
    </w:pPr>
    <w:rPr>
      <w:noProof/>
      <w:lang w:eastAsia="en-GB"/>
    </w:rPr>
  </w:style>
  <w:style w:type="character" w:customStyle="1" w:styleId="Normal6Char">
    <w:name w:val="Normal6 Char"/>
    <w:link w:val="Normal6"/>
    <w:rsid w:val="00006308"/>
    <w:rPr>
      <w:noProof/>
      <w:sz w:val="24"/>
      <w:szCs w:val="24"/>
      <w:lang w:val="en-GB" w:eastAsia="en-GB"/>
    </w:rPr>
  </w:style>
  <w:style w:type="character" w:customStyle="1" w:styleId="hidetwbext0">
    <w:name w:val="hidetwbext"/>
    <w:rsid w:val="00006308"/>
    <w:rPr>
      <w:rFonts w:cs="Times New Roman"/>
    </w:rPr>
  </w:style>
  <w:style w:type="paragraph" w:customStyle="1" w:styleId="CharChar1CharCharCharCharCharCharCharCharCharChar">
    <w:name w:val="Char Char1 Char Char Char Char Char Char Char Char Char Char"/>
    <w:basedOn w:val="Normal"/>
    <w:rsid w:val="00006308"/>
    <w:pPr>
      <w:spacing w:before="0" w:after="160" w:line="240" w:lineRule="exact"/>
    </w:pPr>
    <w:rPr>
      <w:rFonts w:ascii="Tahoma" w:hAnsi="Tahoma" w:cs="Tahoma"/>
      <w:sz w:val="20"/>
      <w:szCs w:val="20"/>
      <w:lang w:val="en-US"/>
    </w:rPr>
  </w:style>
  <w:style w:type="paragraph" w:customStyle="1" w:styleId="Normal12Tab">
    <w:name w:val="Normal12Tab"/>
    <w:basedOn w:val="Normal"/>
    <w:rsid w:val="00006308"/>
    <w:pPr>
      <w:widowControl w:val="0"/>
      <w:tabs>
        <w:tab w:val="left" w:pos="357"/>
      </w:tabs>
      <w:spacing w:before="0" w:after="240" w:line="240" w:lineRule="auto"/>
    </w:pPr>
    <w:rPr>
      <w:lang w:eastAsia="en-GB"/>
    </w:rPr>
  </w:style>
  <w:style w:type="character" w:customStyle="1" w:styleId="Normal1">
    <w:name w:val="Normal1"/>
    <w:rsid w:val="00006308"/>
    <w:rPr>
      <w:rFonts w:ascii="Times New Roman" w:hAnsi="Times New Roman" w:cs="Times New Roman"/>
    </w:rPr>
  </w:style>
  <w:style w:type="paragraph" w:customStyle="1" w:styleId="CharChar1">
    <w:name w:val="Char Char1"/>
    <w:basedOn w:val="Normal"/>
    <w:rsid w:val="00006308"/>
    <w:pPr>
      <w:spacing w:before="0" w:after="160" w:line="240" w:lineRule="exact"/>
    </w:pPr>
    <w:rPr>
      <w:rFonts w:ascii="Tahoma" w:hAnsi="Tahoma" w:cs="Tahoma"/>
      <w:sz w:val="20"/>
      <w:szCs w:val="20"/>
      <w:lang w:val="en-US"/>
    </w:rPr>
  </w:style>
  <w:style w:type="paragraph" w:customStyle="1" w:styleId="CharChar1CharCharCharCharCharCharCharCharCharCharCharCharChar1">
    <w:name w:val="Char Char1 Char Char Char Char Char Char Char Char Char Char Char Char Char1"/>
    <w:basedOn w:val="Normal"/>
    <w:rsid w:val="00006308"/>
    <w:pPr>
      <w:spacing w:before="0" w:after="160" w:line="240" w:lineRule="exact"/>
    </w:pPr>
    <w:rPr>
      <w:rFonts w:ascii="Tahoma" w:hAnsi="Tahoma" w:cs="Tahom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006308"/>
    <w:pPr>
      <w:spacing w:before="0" w:after="160" w:line="240" w:lineRule="exact"/>
    </w:pPr>
    <w:rPr>
      <w:rFonts w:ascii="Tahoma" w:hAnsi="Tahoma" w:cs="Tahoma"/>
      <w:sz w:val="20"/>
      <w:szCs w:val="20"/>
      <w:lang w:val="en-US"/>
    </w:rPr>
  </w:style>
  <w:style w:type="numbering" w:customStyle="1" w:styleId="CowiHeaders">
    <w:name w:val="CowiHeaders"/>
    <w:rsid w:val="00006308"/>
    <w:pPr>
      <w:numPr>
        <w:numId w:val="47"/>
      </w:numPr>
    </w:pPr>
  </w:style>
  <w:style w:type="character" w:customStyle="1" w:styleId="Char4">
    <w:name w:val="Char4"/>
    <w:locked/>
    <w:rsid w:val="00006308"/>
    <w:rPr>
      <w:sz w:val="24"/>
      <w:lang w:val="en-GB" w:eastAsia="fr-BE" w:bidi="ar-SA"/>
    </w:rPr>
  </w:style>
  <w:style w:type="paragraph" w:customStyle="1" w:styleId="Char1">
    <w:name w:val="Char1"/>
    <w:basedOn w:val="Normal"/>
    <w:rsid w:val="00006308"/>
    <w:pPr>
      <w:spacing w:before="0" w:after="160" w:line="240" w:lineRule="exact"/>
    </w:pPr>
    <w:rPr>
      <w:rFonts w:ascii="Tahoma" w:hAnsi="Tahoma"/>
      <w:sz w:val="20"/>
      <w:szCs w:val="20"/>
      <w:lang w:val="en-US"/>
    </w:rPr>
  </w:style>
  <w:style w:type="paragraph" w:customStyle="1" w:styleId="Char1Char">
    <w:name w:val="Char1 Char"/>
    <w:basedOn w:val="Normal"/>
    <w:rsid w:val="00006308"/>
    <w:pPr>
      <w:spacing w:before="0" w:after="160" w:line="240" w:lineRule="exact"/>
    </w:pPr>
    <w:rPr>
      <w:rFonts w:ascii="Tahoma" w:hAnsi="Tahoma"/>
      <w:sz w:val="20"/>
      <w:szCs w:val="20"/>
      <w:lang w:val="en-US"/>
    </w:rPr>
  </w:style>
  <w:style w:type="character" w:customStyle="1" w:styleId="italic1">
    <w:name w:val="italic1"/>
    <w:rsid w:val="00006308"/>
    <w:rPr>
      <w:i/>
    </w:rPr>
  </w:style>
  <w:style w:type="character" w:customStyle="1" w:styleId="NormalBoldChar">
    <w:name w:val="NormalBold Char"/>
    <w:link w:val="NormalBold"/>
    <w:rsid w:val="00006308"/>
    <w:rPr>
      <w:b/>
      <w:bCs/>
      <w:sz w:val="24"/>
      <w:szCs w:val="24"/>
      <w:lang w:val="en-GB" w:eastAsia="en-GB"/>
    </w:rPr>
  </w:style>
  <w:style w:type="paragraph" w:customStyle="1" w:styleId="BodyA">
    <w:name w:val="Body A"/>
    <w:rsid w:val="00C3263B"/>
    <w:pPr>
      <w:jc w:val="both"/>
    </w:pPr>
    <w:rPr>
      <w:rFonts w:ascii="Calibri" w:eastAsia="Calibri" w:hAnsi="Calibri" w:cs="Calibri"/>
      <w:color w:val="000000"/>
      <w:sz w:val="22"/>
      <w:szCs w:val="22"/>
      <w:u w:color="000000"/>
      <w:lang w:val="en-US" w:eastAsia="en-GB"/>
    </w:rPr>
  </w:style>
  <w:style w:type="character" w:styleId="Fulgthyperkobling">
    <w:name w:val="FollowedHyperlink"/>
    <w:basedOn w:val="Standardskriftforavsnitt"/>
    <w:uiPriority w:val="99"/>
    <w:semiHidden/>
    <w:unhideWhenUsed/>
    <w:rsid w:val="00645974"/>
    <w:rPr>
      <w:color w:val="800080" w:themeColor="followedHyperlink"/>
      <w:u w:val="single"/>
    </w:rPr>
  </w:style>
  <w:style w:type="character" w:customStyle="1" w:styleId="FootnoteTextChar1">
    <w:name w:val="Footnote Text Char1"/>
    <w:aliases w:val="single space Char1"/>
    <w:basedOn w:val="Standardskriftforavsnitt"/>
    <w:semiHidden/>
    <w:rsid w:val="00645974"/>
    <w:rPr>
      <w:lang w:val="en-GB" w:eastAsia="en-US"/>
    </w:rPr>
  </w:style>
</w:styles>
</file>

<file path=word/webSettings.xml><?xml version="1.0" encoding="utf-8"?>
<w:webSettings xmlns:r="http://schemas.openxmlformats.org/officeDocument/2006/relationships" xmlns:w="http://schemas.openxmlformats.org/wordprocessingml/2006/main">
  <w:divs>
    <w:div w:id="694816262">
      <w:bodyDiv w:val="1"/>
      <w:marLeft w:val="0"/>
      <w:marRight w:val="0"/>
      <w:marTop w:val="0"/>
      <w:marBottom w:val="0"/>
      <w:divBdr>
        <w:top w:val="none" w:sz="0" w:space="0" w:color="auto"/>
        <w:left w:val="none" w:sz="0" w:space="0" w:color="auto"/>
        <w:bottom w:val="none" w:sz="0" w:space="0" w:color="auto"/>
        <w:right w:val="none" w:sz="0" w:space="0" w:color="auto"/>
      </w:divBdr>
    </w:div>
    <w:div w:id="746923895">
      <w:bodyDiv w:val="1"/>
      <w:marLeft w:val="0"/>
      <w:marRight w:val="0"/>
      <w:marTop w:val="0"/>
      <w:marBottom w:val="0"/>
      <w:divBdr>
        <w:top w:val="none" w:sz="0" w:space="0" w:color="auto"/>
        <w:left w:val="none" w:sz="0" w:space="0" w:color="auto"/>
        <w:bottom w:val="none" w:sz="0" w:space="0" w:color="auto"/>
        <w:right w:val="none" w:sz="0" w:space="0" w:color="auto"/>
      </w:divBdr>
    </w:div>
    <w:div w:id="87674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212E-F589-4DC9-BD96-1B134C45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30</Pages>
  <Words>6139</Words>
  <Characters>32537</Characters>
  <Application>Microsoft Office Word</Application>
  <DocSecurity>0</DocSecurity>
  <Lines>271</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38599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LIEVROUW Iveta</dc:creator>
  <cp:lastModifiedBy>Stein Inge</cp:lastModifiedBy>
  <cp:revision>2</cp:revision>
  <cp:lastPrinted>2016-06-27T22:24:00Z</cp:lastPrinted>
  <dcterms:created xsi:type="dcterms:W3CDTF">2016-06-29T11:57:00Z</dcterms:created>
  <dcterms:modified xsi:type="dcterms:W3CDTF">2016-06-29T11:57:00Z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p.1 p.2 p.8</vt:lpwstr>
  </property>
</Properties>
</file>